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ATA/287/2012 vom 8. Mai 2012</w:t>
      </w:r>
    </w:p>
    <w:p>
      <w:r>
        <w:t>GE Cour de justice, 2012-05-08, FR</w:t>
      </w:r>
    </w:p>
    <w:p>
      <w:r>
        <w:rPr>
          <w:b/>
        </w:rPr>
        <w:t xml:space="preserve">Quelle: </w:t>
      </w:r>
      <w:r>
        <w:t>https://mcp.opencaselaw.ch/entscheid/ge_gerichte_ATA_287_2012</w:t>
      </w:r>
    </w:p>
    <w:p>
      <w:r>
        <w:t>FR: GE_GERICHTE ATA/287/2012 du 8 mai 2012</w:t>
      </w:r>
    </w:p>
    <w:p>
      <w:r>
        <w:t>IT: GE_GERICHTE ATA/287/2012 del 8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Au 31 décembre 2010, l’art. 27 LEtr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- 6/10 - A/2693/2010</w:t>
      </w:r>
    </w:p>
    <w:p>
      <w:r>
        <w:t>L’art. 23 al. 1 OASA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qu’aucun autre élément n’indiquait que la personne concernée entendait demeurer durablement en Suisse (let. b), lorsque le programme de formation était respecté (let. c).</w:t>
      </w:r>
    </w:p>
    <w:p>
      <w:r>
        <w:rPr>
          <w:b/>
        </w:rPr>
        <w:t>E. 4</w:t>
      </w:r>
    </w:p>
    <w:p>
      <w:r>
        <w:t>Depuis le 1er janvier 2011, à la suite de l’entrée en vigueur de la loi fédérale du 18 juin 2010 destinée à faciliter l’admission des étrangers diplômés d’une haute école suisse (RO - 2010 5957 ; FF 2010 373, notamment p. 391), la quatrième condition de l’art. 27 al. 1 let. d aLEtr a été supprimée et remplacée par un nouvel art. 27 al. 1 let. d LEtr dont la teneur est la suivante :</w:t>
      </w:r>
    </w:p>
    <w:p>
      <w:r>
        <w:t>«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de séjour des étrangers ».</w:t>
      </w:r>
    </w:p>
    <w:p>
      <w:r>
        <w:t>Ce dernier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(ATA/694/2011 du</w:t>
      </w:r>
    </w:p>
    <w:p>
      <w:r>
        <w:rPr>
          <w:b/>
        </w:rPr>
        <w:t>E. 8</w:t>
      </w:r>
    </w:p>
    <w:p>
      <w:r>
        <w:t>Dans ces circonstances, l’OCP était en droit, sans mésuser de son pouvoir d’appréciation, de considérer, le 4 août 2010, sous l’angle des art. 27 al. 1 let. a LEtr et 23 al. 2 let. a OASA, que le recourant n’avait pas démontré de raisons impérieuses justifiant l’octroi du renouvellement de l’autorisation de séjour alors que le but de son séjour en Suisse avait été atteint et qu’il ne présentait pas de garanties suffisantes, malgré ses promesses de quitter la Suisse. Une telle appréciation reste valable au regard des art. 5 al. 2 et 27 al. 1 LEtr, de même que de l’art. 23 al. 2 OASA, dès lors qu’il ne peut être exclu que le recourant cherche à éluder les prescriptions générales sur l’admission et le séjour des étrangers.</w:t>
      </w:r>
    </w:p>
    <w:p>
      <w:r>
        <w:rPr>
          <w:b/>
        </w:rPr>
        <w:t>E. 9</w:t>
      </w:r>
    </w:p>
    <w:p>
      <w:r>
        <w:t>Le recours sera rejeté. Un émolument de CHF 400.- sera mis à la charge de M. V______, auquel il ne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