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ATA/285/2020 vom 10. März 2020</w:t>
      </w:r>
    </w:p>
    <w:p>
      <w:r>
        <w:t>GE Cour de justice, 2020-03-10, FR</w:t>
      </w:r>
    </w:p>
    <w:p>
      <w:r>
        <w:rPr>
          <w:b/>
        </w:rPr>
        <w:t xml:space="preserve">Quelle: </w:t>
      </w:r>
      <w:r>
        <w:t>https://mcp.opencaselaw.ch/entscheid/ge_gerichte_ATA_285_2020</w:t>
      </w:r>
    </w:p>
    <w:p>
      <w:r>
        <w:t>FR: GE_GERICHTE ATA/285/2020 du 10 mars 2020</w:t>
      </w:r>
    </w:p>
    <w:p>
      <w:r>
        <w:t>IT: GE_GERICHTE ATA/285/2020 del 10 marzo 2020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1985 - LPA - E 5 10). 2)</w:t>
      </w:r>
    </w:p>
    <w:p>
      <w:r>
        <w:t>La chambre administrative est liée par les conclusions des parties, mais non par les motifs qu'elles invoquent (art. 69 al. 1 LPA). Elle connaît le droit d'office et ne peut se limiter à entériner un accord auquel sont parvenues les parties (ATA/541/2016 du 28 juin 2016 ; ATA/930/2014 du 25 novembre 2014 et la jurisprudence citée). 3)</w:t>
      </w:r>
    </w:p>
    <w:p>
      <w:r>
        <w:t>Le litige porte sur le bien-fondé de l’autorisation de construire DD 110'668 délivrée par le DT le 10 août 2018. 4)</w:t>
      </w:r>
    </w:p>
    <w:p>
      <w:r>
        <w:t>Le principal grief soulevé par les recourantes et le département porte dans l’application anticipée, par le TAPI, d’un PDCom non encore adopté.</w:t>
      </w:r>
    </w:p>
    <w:p>
      <w:r>
        <w:t>Conformément à la jurisprudence du Tribunal fédéral dans le dossier relatif à la parcelle voisine, c’est à tort que le TAPI a pris en considération le PDCom en voie d’élaboration pour mettre à néant l’autorisation querellée.</w:t>
      </w:r>
    </w:p>
    <w:p>
      <w:r>
        <w:t>Le grief des recourantes est dès lors fondé, ce dont tiennent compte les conclusions d’accord trouvées entre les parties et qui peuvent dès lors être entérinées.</w:t>
      </w:r>
    </w:p>
    <w:p>
      <w:r>
        <w:t>Pour le surplus, les écritures de M. REGENASS, consistant en quelques précisions sur le dossier, ne sont pas de nature à infléchir ce qui précède, l’intéressé n’ayant par ailleurs pas pris de conclusions formelles.</w:t>
      </w:r>
    </w:p>
    <w:p>
      <w:r>
        <w:t>En conséquence, conformément à l’accord intervenu, les recours seront admis, le jugement du TAPI annulé et l’autorisation de construire querellée rétablie. 5)</w:t>
      </w:r>
    </w:p>
    <w:p>
      <w:r>
        <w:t>Vu l’issue de la procédure, un émolument de CHF 800.-, couvert par l’avance de frais, sera mis à la charge des recourantes (art. 87 al. 1 LPA). Il ne sera pas alloué d’indemnité de procédure (art. 87 al. 2 LPA), les parties y ayant renoncé dans le cadre de leur accord (art. 87 al. 2 LPA).</w:t>
      </w:r>
    </w:p>
    <w:p>
      <w:r>
        <w:t>Aucun émolument ne sera mis à la charge de Monsieur REGENASS qui n’a pas pris de conclusions formelles dans ses écritures. * * * * *</w:t>
      </w:r>
    </w:p>
    <w:p>
      <w:r>
        <w:t>- 7/8 - A/2934/2018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