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ATA/283/2023 vom 21. März 2023</w:t>
      </w:r>
    </w:p>
    <w:p>
      <w:r>
        <w:t>GE Cour de justice, 2023-03-21, FR</w:t>
      </w:r>
    </w:p>
    <w:p>
      <w:r>
        <w:rPr>
          <w:b/>
        </w:rPr>
        <w:t xml:space="preserve">Quelle: </w:t>
      </w:r>
      <w:r>
        <w:t>https://mcp.opencaselaw.ch/entscheid/ge_gerichte_ATA_283_2023</w:t>
      </w:r>
    </w:p>
    <w:p>
      <w:r>
        <w:t>FR: GE_GERICHTE ATA/283/2023 du 21 mars 2023</w:t>
      </w:r>
    </w:p>
    <w:p>
      <w:r>
        <w:t>IT: GE_GERICHTE ATA/283/2023 del 21 marzo 2023</w:t>
      </w:r>
    </w:p>
    <w:p>
      <w:pPr>
        <w:pStyle w:val="Heading2"/>
      </w:pPr>
      <w:r>
        <w:t>Regeste</w:t>
      </w:r>
    </w:p>
    <w:p>
      <w:r>
        <w:t>Résumé: Confirmation d’une décision du Centre genevois de consultation pour victimes d’infractions, niant le droit aux prestations de la recourante. Au vu des faits relatés, l’existence d’une infraction pénale n’apparaît pas hautement probable.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bien-fondé de la décision du 2 septembre 2022, par laquelle l’intimé a nié le droit de la recourante à toutes prestations. 3. La recourante sollicite la production de diverses pièces afin de démontrer l’insuffisance de sa prise en charge par l’intimé. 3.1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w:t>
      </w:r>
    </w:p>
    <w:p>
      <w:r>
        <w:t>- 7/14 - A/3338/2022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3.2 Compte tenu des pièces figurant au dossier et des écritures de la recourante, la chambre administrative estime être en possession de tous les éléments pertinents nécessaires pour statuer en pleine connaissance de cause sur les griefs. Elle ne donnera donc pas suite à la demande de la recourante. 4.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Selon l’art. 2 LAVI, l’aide aux victimes comprend notamment les conseils et l’aide immédiate (let. a), l’aide à plus long terme fournie par les centres de consultation (let. b), la contribution aux frais pour l’aide à plus long terme fournie par un tiers (let. c). 4.1 La LAVI révisée poursuit le même objectif que la loi l'ayant précédée, à savoir assurer aux victimes une réparation effective et suffisante dans un délai raisonnable (Message du Conseil fédéral concernant l’aLAVI du 25 avril 1990, FF 1990 V II p. 909 ss ; ATF 134 II 308 consid. 5.5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Pour reconnaître à une personne la qualité de victime LAVI, trois conditions doivent être réalisées : la personne doit avoir subi une atteinte à son intégrité physique, psychique ou sexuelle ; cette atteinte doit avoir été causée par une infraction ; l’atteinte doit être la conséquence directe de l’infraction (ATA/523/2021 du 18 mai 2021 consid. 4b ; ATA/304/2016 du 12 avril 2016 consid. 5). Ces trois critères doivent être, selon la lettre de la loi, remplis</w:t>
      </w:r>
    </w:p>
    <w:p>
      <w:r>
        <w:t>- 8/14 - A/3338/2022 cumulativement (Cédric MIZEL, La qualité de victimes LAVI et la mesure actuelle des droits qui en découlent, JdT 2003 IV p. 42). Ainsi,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ATA/1291/2022 du 20 décembre 2022 consid. 4c ; ATA/973/2015 du 22 septembre 2015 consid. 3c). 4.1.1 S’agissant de la condition de l’existence d’une infraction, les faits à l’origine de l’atteinte à l’intégrité doivent correspondre à l’état de fait objectif et subjectif d’une infraction au sens du Code pénal suisse du 21 décembre 1937 (CP – RS 311.0 ; Dominik ZEHNTNER, Opferhilfegesetz, 3ème éd. 2009 ad art. 1, p. 13 n° 3).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consid. 3 ; Stéphanie CONVERSET, Aide aux victimes d’infractions et réparation du dommage, 2009, p. 152). Lorsque la procédure pénale fait défaut, parce que, par exemple l’auteur de l’infraction n’a pas été identifié, il convient d’admettre l’existence d’une infraction dès que celle-ci est hautement probable, une simple vraisemblance sur ce point étant insuffisante (Stéphanie CONVERSET, Aide aux victimes d’infractions et réparation du dommage, 2009, p. 153 ; Peter GOMM in Peter GOMM / Dominik ZEHNTNER [éd.], Opferhilfegesetz, 2ème éd., 2005 ad art. 16, p. 313, n° 19). 4.1.2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ATF 129 IV 216 consid. 1.2.1 ; ATF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w:t>
      </w:r>
    </w:p>
    <w:p>
      <w:r>
        <w:t>- 9/14 - A/3338/2022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 ATF 120 Ia 157 consid. 2d/cc ; arrêt du Tribunal fédéral 1A.272/2004 du 31 mars 2005 consid. 4.1).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 4.1.3 Finalement, l’atteinte à l’intégrité doit être une conséquence directe, effective et immédiate de l’infraction (ATF 125 II 268 ; arrêt du Tribunal fédéral 6S-543/2006 du 20 février 2007). Une atteinte est directe lorsque l’intégrité physique, psychique ou sexuelle appartient aux biens juridiquement protégés de l’élément constitutif de l’infraction en question (ATF 129 IV 95 consid. 3.1). Avec la notion d'immédiateté de l'atteinte, le législateur a notamment voulu exclure du champ d'application de la LAVI les atteintes au patrimoine. De même, les atteintes à l'honneur ne touchent-elles d'ordinaire pas directement l'intégrité corporelle, sexuelle ou psychique des personnes, de sorte que celles-ci ne sauraient se prévaloir de la qualité de victime au sens de la LAVI. Il en va de façon analogue des délits de mise en danger, qui sont dans la règle exclus de la LAVI. Le même principe prévaut, fondamentalement, pour l'abus d'autorité, la contrainte et les faux témoignages, dénonciations calomnieuses et entraves à l'action pénale, toutes infractions qui ne sont pas dirigées directement contre la protection des droits individuels. Elles ne peuvent ainsi normalement fonder la situation de victime LAVI. Il en va encore ainsi des discriminations raciales et autres atteintes à la paix publique : dans le premier cas, la paix publique n'est en effet protégée indirectement qu'en tant que conséquence de la protection des individus dans leur appartenance à un groupe ethnique ou religieux. Il s'ensuit qu'une personne déterminée n'est en principe pas atteinte dans la mesure nécessaire pour fonder la qualité de victime LAVI par une atteinte discriminatoire raciale. Ces principes ne sont toutefois pas absolus, en ce sens qu'il peut se concevoir des cas exceptionnels, avérés ou encore théoriques, dans lesquels les comportements répréhensibles susmentionnés peuvent fonder la qualité de victime au sens de la LAVI (Cédric MIZEL, op. cit., JdT 2003 IV p. 45 ss). Ainsi, le Tribunal fédéral a reconnu la possibilité de reconnaître la qualité de victime dans des cas extrêmement graves d’atteintes à l’honneur</w:t>
      </w:r>
    </w:p>
    <w:p>
      <w:r>
        <w:t>- 10/14 - A/3338/2022 (Cédric MIZEL, op. cit., JdT 2003 IV p. 60). De même, la discrimination raciale ne cause une atteinte notable à l’intégrité psychique du lésé que dans des cas exceptionnels ou particulièrement rares, ou encore éventuellement, lorsqu’elle est perpétrée en concours avec d’autres infractions telles que des lésions corporelles ou des voies de fait (Cédric MIZEL, op. cit., JdT 2003 IV p. 62). 4.2 L’art. 3 de la Convention de sauvegarde des droits de l’homme et des libertés fondamentales du 4 novembre 1950 (CEDH - RS 0.101) interdit la torture ainsi que les traitements inhumains ou dégradants. Pour constituer un acte prohibé par cette disposition, un mauvais traitement doit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 du Tribunal fédéral 6B_474/2013 du 23 août 2013 consid. 1.4 et les références citées). Selon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1.2 et les références citées). À titre d'exemples de voies de fait, on peut citer la gifle, le coup de poing ou de pied, les fortes bourrades avec les mains ou les coudes (arrêts du Tribunal fédéral 6B_514/2019 du 8 août 2019 consid. 3.1, 6B_693/2017 du 24 août 2017 consid. 2.1 et 6B_187/2015 du 28 avril 2015 consid. 2.1).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w:t>
      </w:r>
    </w:p>
    <w:p>
      <w:r>
        <w:t>- 11/14 - A/3338/2022 de tenir compte de la réaction qu'aurait une personne raisonnable face à une situation identique (ATF 122 IV 97 consid. 2b). Les menaces de lésions corporelles graves ou de mort doivent être considérées comme des menaces graves au sens de l'art. 180 CP (arrêt du Tribunal fédéral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arrêt du Tribunal fédéral 6B_1328/2017 du 10 avril 2018 consid. 2.1). L'art. 261bis CP réprime, comme acte commis à l'encontre d'une personne en raison de son appartenance à une ethnie, l'incitation à la haine ou à la discrimination, la propagation d'une idéologie visant à rabaisser ou à dénigrer de façon systématique, l'organisation ou l'encouragement des actions de propagande, la parole en public d'une façon qui porte atteinte à la dignité humaine, la négation ou le fait de minimiser grossièrement ou de chercher à justifier un génocide ou encore le refus d'une prestation destinée à l'usage public.</w:t>
      </w:r>
    </w:p>
    <w:p>
      <w:r>
        <w:rPr>
          <w:b/>
        </w:rPr>
        <w:t>E. 5</w:t>
      </w:r>
    </w:p>
    <w:p>
      <w:r>
        <w:t>En l’espèce, la recourante invoque avoir été victime d’atteintes à l’intégrité physique et psychique le 6 décembre 2021.</w:t>
      </w:r>
    </w:p>
    <w:p>
      <w:r>
        <w:rPr>
          <w:b/>
        </w:rPr>
        <w:t>E. 5.1</w:t>
      </w:r>
    </w:p>
    <w:p>
      <w:r>
        <w:t>En ce qui concerne les faits survenus à la bibliothèque, elle a fait état d’une « agression verbale », précisant que la bibliothécaire l’avait critiquée « assez violemment », que l’agent de sécurité s’était comporté « de manière physiquement et verbalement menaçante ». Tous deux lui parlaient de façon « agitée et accusatoire », en même temps. Ils avaient été rejoints par trois autres personnes et la situation avait tourné au « lynchage ». Il lui était impossible de se faire entendre car ils « étaient si nombreux ». Une fois à l’extérieur, l’agent de sécurité avait faussement indiqué aux policier qu’elle était agressive. La description très précise de ces événements permet d’écarter toute infraction contre la vie ou l’intégrité corporelle, ainsi que toute mise en danger de la vie ou de la santé d’autrui, en particulier l’existence d’une rixe ou d’une agression, la recourante ne faisant état d’aucun geste à son encontre. La recourante ne rapporte pas non plus la tenue de propos pouvant porter atteinte à sa considération ni de gestes attentatoires à l'honneur, de sorte que les infractions de diffamation, de calomnie et d’injure peuvent être exclues. Que la recourante ait été prise à partie par cinq personnes qui auraient adopté un comportement inadéquat, désagréable ou qui se seraient même montrées</w:t>
      </w:r>
    </w:p>
    <w:p>
      <w:r>
        <w:t>- 12/14 - A/3338/2022 virulentes à son égard ne saurait suffire. La commission d’une infraction pénale n’apparaît pas probable.</w:t>
      </w:r>
    </w:p>
    <w:p>
      <w:r>
        <w:rPr>
          <w:b/>
        </w:rPr>
        <w:t>E. 5.2</w:t>
      </w:r>
    </w:p>
    <w:p>
      <w:r>
        <w:t>S’agissant de l’intervention des forces de l’ordre, la recourante a allégué que les policiers lui avaient parlé de manière « dominante », « menaçante », avec une posture « intrusive ». L’un d’eux l’avait « brutalement » saisie pour la menotter et elle avait eu mal. Elle avait été « propulsée et mise » dans le véhicule. Son téléphone portable avait été saisi de sa main « avec force ». Elle avait été « agressée verbalement » par un policier qui lui avait répété de façon « hostile » : « You are finished », ce qu’elle avait interprété comme une menace de mort ou un dommage imminent, grave et irréparable. Des propos xénophobes et racistes avaient été tenus, avec plusieurs références à ses origines étrangères et à la suggestion de quitter la Suisse, de rentrer dans son pays. Contrairement à ce que soutient la recourante, le fait d’avoir été appréhendée en pleine rue par des policiers, menottée, puis conduite au poste de police en raison de son refus de présenter ses documents d’identité, ne constitue en aucun cas un mauvais traitement pouvant être considéré comme un acte de torture et de cruauté. Une telle intervention de police n’est pas de nature à créer des sentiments de peur, d'angoisse et d'infériorité propres à humilier ou à avilir la personne arrêtée. En outre, les faits dénoncés par la recourante ne permettent pas de retenir l’existence d’une atteinte physique excédant ce qui est admissible dans une telle situation, étant rappelé que la recourante a reconnu qu’elle avait refusé de montrer ses papiers d’identité avant d’être arrivée au poste de police. Des voies de fait n’apparaissent pas hautement probables. D’ailleurs, le rapport du Dr D______, qui relate également l’incident dans le détail et mentionne une interpellation décrite comme « brutale », ne rapporte aucun acte excessif ou agressif. Les propos qui auraient été tenus par les policiers, à savoir « You are finished », ne pouvaient être compris comme des menaces de lésions corporelles graves ou de mort. La recourante ne pouvait objectivement penser que les policiers, qui l’emmenaient au poste puisqu’elle avait refusé de leur montrer ses papiers, ce qu’ils lui avaient d’ailleurs expliqué, allaient la « faire disparaître », la violer ou encore la battre. Même prononcés sur un ton hostile, ces termes ne sont pas propres à alarmer ou effrayer une personne raisonnable dans une situation similaire. Enfin, qu’elles soient avérées ou non, les références à ses origines, à sa présence en Suisse ou encore à un retour dans son pays, ne sont clairement pas des propos racistes discriminatoires ou incitant à la haine. Par conséquent, au vu des faits relatés par la recourante de façon très précise et détaillée, l’existence d’une infraction pénale n’apparaît pas hautement probable.</w:t>
      </w:r>
    </w:p>
    <w:p>
      <w:r>
        <w:t>- 13/14 - A/3338/2022 L’un des trois critères cumulatifs faisant défaut, la recourante ne peut donc se voir reconnaître la qualité de victime LAVI.</w:t>
      </w:r>
    </w:p>
    <w:p>
      <w:r>
        <w:rPr>
          <w:b/>
        </w:rPr>
        <w:t>E. 5.3</w:t>
      </w:r>
    </w:p>
    <w:p>
      <w:r>
        <w:t>À toutes fins utiles, il sera encore rappelé que les atteintes à l'honneur, l'abus d'autorité et les discriminations raciales ne touchent d'ordinaire pas directement l'intégrité psychique des personnes et que la qualité de victime ne peut être reconnue que dans des cas exceptionnels. Ainsi, même si l’existence de propos racistes, xénophobes, injurieux ou calomnieux ou d’un comportement abusif des policiers devait être établie, l'admission de la qualité de victime n'entrerait de toute façon pas en considération, les circonstances n’étant pas suffisamment graves pour entraîner objectivement une atteinte directe à l'intégrité psychique.</w:t>
      </w:r>
    </w:p>
    <w:p>
      <w:r>
        <w:rPr>
          <w:b/>
        </w:rPr>
        <w:t>E. 6</w:t>
      </w:r>
    </w:p>
    <w:p>
      <w:r>
        <w:t>Au vu de ce qui précède, c’est à bon droit que l’intimé a dénié à la recourante la qualité de victime sous l'angle de l’art. 1 al. 1 LAVI. Mal fondé, le recours sera rejeté. Vu la nature de la cause, aucun émolument ne sera prélevé (art. 87 al. 1 LPA et 30 al. 1 LAVI)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