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ATA/283/2020 vom 10. März 2020</w:t>
      </w:r>
    </w:p>
    <w:p>
      <w:r>
        <w:t>GE Cour de justice, 2020-03-10, FR</w:t>
      </w:r>
    </w:p>
    <w:p>
      <w:r>
        <w:rPr>
          <w:b/>
        </w:rPr>
        <w:t xml:space="preserve">Quelle: </w:t>
      </w:r>
      <w:r>
        <w:t>https://mcp.opencaselaw.ch/entscheid/ge_gerichte_ATA_283_2020</w:t>
      </w:r>
    </w:p>
    <w:p>
      <w:r>
        <w:t>FR: GE_GERICHTE ATA/283/2020 du 10 mars 2020</w:t>
      </w:r>
    </w:p>
    <w:p>
      <w:r>
        <w:t>IT: GE_GERICHTE ATA/283/2020 del 10 marzo 2020</w:t>
      </w:r>
    </w:p>
    <w:p>
      <w:pPr>
        <w:pStyle w:val="Heading2"/>
      </w:pPr>
      <w:r>
        <w:t>Regeste</w:t>
      </w:r>
    </w:p>
    <w:p>
      <w:r>
        <w:t>Résumé: Recours contre un refus de délivrer un certificat de bonne vie et mœurs (CBVM) au motif que le recourant avait fait l'objet de procédures pénales classées et anciennes. Plus récemment, une ordonnance de non-entrée en matière ainsi qu'une amende administrative peu élevée ont été prononcées à son encontre. Le commissaire de police devait tenir compte de tous les éléments du cas d'espèce afin de délivrer le CBVM. Recours admis.</w:t>
      </w:r>
    </w:p>
    <w:p>
      <w:pPr>
        <w:pStyle w:val="Heading2"/>
      </w:pPr>
      <w:r>
        <w:t>Erwägungen</w:t>
      </w:r>
    </w:p>
    <w:p>
      <w:r>
        <w:rPr>
          <w:b/>
        </w:rPr>
        <w:t>E. 12</w:t>
      </w:r>
    </w:p>
    <w:p>
      <w:r>
        <w:t>septembre 1985 - LPA - E 5 10). 2) a. Quiconque justifie de son identité et satisfait aux exigences du chapitre IV de la loi peut requérir la délivrance d’un CBVM (art. 8 de la loi sur les renseignements et les dossiers de police et la délivrance des certificats de bonne vie et mœurs du 29 septembre 1977 - LCBVM - F 1 25). Le CBVM est délivré par un commissaire de police (art. 15 LCBVM). Le CBVM est refusé à celui dont le casier judiciaire contient une condamnation à une peine privative de liberté. L’autorité compétente apprécie librement, eu égard aux circonstances, si certaines condamnations de peu de gravité peuvent ne pas être retenues. Il peut en être de même des condamnations en raison d’une infraction non intentionnelle (art. 10 al. 1 let. a LCBVM). Le CBVM est également refusé à celui dont l'honorabilité peut être déniée avec certitude en raison soit d'une ou de plusieurs plaintes fondées concernant son comportement, soit de contraventions encourues par lui à réitérées reprises, notamment pour ivrognerie ou toxicomanie, ou encore s'il s'agit d'un failli inexcusable (art. 10 al. 1 let. b LCBVM). Les faits de peu d'importance ou ceux qui sont contestés et non établis ne sont pas pris en considération (art. 10 al. 2 LCBVM).</w:t>
      </w:r>
    </w:p>
    <w:p>
      <w:r>
        <w:t>b. Celui qui tombe sous le coup de l’art. 10 al. 1 let. b LCBVM peut recevoir un certificat de bonne vie et mœurs si dans les deux ans qui précèdent la demande, sa conduite n’a donné lieu à aucun fait pouvant porter atteinte à son honorabilité (art. 11 al. 2 LCBVM).</w:t>
      </w:r>
    </w:p>
    <w:p>
      <w:r>
        <w:t>L’art. 10 al. 1 let. b LCBVM a été introduit dans le but de saisir les comportements relevant du droit pénal dès leur commission, et de permettre au commissaire de police d’en tenir compte avant la fin de l’instruction pénale et le prononcé judiciaire (MGC 1977/V 4774). Celui qui a fait l’objet de plaintes, même si elles sont encore en cours d’instruction, peut ainsi faire l’objet d’un refus de délivrance d’un CBVM (ATA/332/2018 du 10 avril 2018 et les références citées).</w:t>
      </w:r>
    </w:p>
    <w:p>
      <w:r>
        <w:t>c. Selon la jurisprudence de la chambre de céans, une interprétation littérale de l'art. 10 al. 2 LCBVM viderait l'institution du certificat de bonne vie et mœurs de son sens : elle mettrait le requérant non pas au bénéfice du doute, mais du manque d'information. Elle empêcherait l'officier de police d'apprécier si les faits resteront vraisemblablement et définitivement non établis ou si, au contraire, ils seront susceptibles d'être établis. En revanche, une interprétation qui négligerait le but de l'al. 2 porterait une atteinte grave à la liberté individuelle. C'est pourquoi il appartient à l'officier de police d'effectuer ses recherches en tenant compte,</w:t>
      </w:r>
    </w:p>
    <w:p>
      <w:r>
        <w:t>- 6/9 - A/299/2020 notamment, de la gravité de l'infraction, de la complexité des enquêtes et des circonstances particulières ; il doit, dans un délai raisonnable et après avoir fait une pesée des intérêts en cause, prendre une décision motivée permettant un contrôle judiciaire (ATA/648/2017 du 13 juin 2017 ; ATA/57/2003 du 28 janvier 2003 et la référence citée).</w:t>
      </w:r>
    </w:p>
    <w:p>
      <w:r>
        <w:t>d. Le CBVM vise à assurer la constatation de la bonne réputation de l’intéressé à l’égard des tiers dans certaines situations où il est requis, par exemple pour la prise d’un emploi. L’exclusion d’un tel certificat est attachée à l’existence d’un comportement répréhensible par rapport aux critères éthiques adoptés par la majorité de la population. La bonne réputation peut se définir comme le fait de ne pas avoir enfreint les lois régissant la vie des hommes en société, ni heurté au mépris d’autrui les conceptions généralement répandues, conçues comme des valeurs et formant la conscience juridique de la majorité de la population (ATA/1028/2018 du 2 octobre 2018 et les références citées).</w:t>
      </w:r>
    </w:p>
    <w:p>
      <w:r>
        <w:t>De plus, selon une jurisprudence déjà ancienne, mais constante, pour apprécier si une personne peut se voir délivrer un CBVM, il faut prendre en considération l’usage qu’il entend faire du certificat. L’honorabilité d’un requérant, ou les conséquences qu’il faut tirer de son inconduite, doivent être appréciées plus ou moins gravement selon l’emploi qu’il entend faire du certificat, c’est-à-dire suivant l’activité professionnelle envisagée (ATA/737/2016 du 30 août 2016 et les références citées). En d’autres termes, l’exigence d’honorabilité doit permettre d’examiner si le comportement de l’intéressé est compatible avec l’activité pour laquelle l’autorisation est requise, même si le candidat concerné n’a pas été condamné pénalement (ATA/1226/2017 du 22 août 2017 et les références citées).</w:t>
      </w:r>
    </w:p>
    <w:p>
      <w:r>
        <w:t>e. Les dispositions précitées doivent être interprétées dans le respect du principe de la proportionnalité, qui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arrêts du Tribunal fédéral 2C_494/2018 du 10 janvier 2019 consid. 3.3 ; 1P. 269/2001 du 7 juin 2001 consid. 2c ; ATA/1328/2018 du 11 décembre 2018).</w:t>
      </w:r>
    </w:p>
    <w:p>
      <w:r>
        <w:t>f. La décision de délivrer ou non un CBVM ne relève pas de l’opportunité, mais repose sur des éléments objectifs et d’autres relevant du pouvoir d’appréciation de l’autorité, dont l’excès et l’abus sont revus par la chambre de céans avec plein pouvoir d’examen (art. 61 al. 1 let. a et al. 2 LPA ; ATA/14/2019 du 8 janvier 2019).</w:t>
      </w:r>
    </w:p>
    <w:p>
      <w:r>
        <w:t>- 7/9 - A/299/2020 3)</w:t>
      </w:r>
    </w:p>
    <w:p>
      <w:r>
        <w:t>En l’espèce, le recourant a fait l'objet de deux procédures pénales ayant été jointes qui ont abouti à une ordonnance pénale rendue le 24 novembre 2015. La procédure a été classée le 17 août 2016 suite à l'opposition du recourant. Ainsi, le commissaire de police ne pouvait pas refuser de délivrer le CBVM au vu de l'ancienneté de l'affaire. En effet, cette procédure a été classée bien avant les deux ans qui précèdent la demande du certificat. Le refus du CBVM n’étant fondé que sur les procédures de 2015, la décision du commissaire de police doit être annulée pour ce motif déjà.</w:t>
      </w:r>
    </w:p>
    <w:p>
      <w:r>
        <w:t>Même à considérer qu’il faudrait tenir compte des faits plus récents, le résultat serait similaire. Le recourant a fait l'objet d'une plainte pénale du 3 décembre 2019 pour ne pas avoir versé les sommes provenant d'une saisie sur salaire au préjudice de l'intéressé ainsi qu'au prononcé d'une amende administrative infligée par le PTCN en date du 5 décembre 2019. Toutefois, cette procédure pénale a fait l'objet d'une ordonnance de non-entrée en matière car M. A______ s'était acquitté de son dû auprès du plaignant et que « l'intérêt public et celui du lésé à la poursuite pénale étaient peu importants ». L'amende infligée s'élevait à CHF 500.-, soit dans le quart le plus bas de la fourchette. Ainsi, il aurait convenu de faire application de l'art. 11 al. 2 LCBVM, dont la raison d'être est précisément d'examiner dans quelle mesure le CBVM peut être délivré nonobstant le fait que les conditions de l'art. 10 al. 2 let. b LCBVM seraient réalisées. Le commissaire de police aurait dû ainsi tenir compte notamment du fait que l'autorité pénale ayant eu à traiter la cause avait non seulement renoncé à renvoyer l'intéressé en jugement, mais encore à le condamner par ordonnance. Il aurait dû également prendre en considération le fait que le recourant s’était acquitté de son dû. Enfin, la sanction administrative infligée était peu élevée, dénotant une gravité moindre du manquement du recourant qui tente par le biais de la délivrance du certificat en cause de régulariser sa situation. Au vu du comportement subséquent de l'intéressé, il n’y avait pas d’intérêt public prépondérant pouvant justifier le refus de délivrer le document demandé, en regard des conséquences dudit refus pour le recourant.</w:t>
      </w:r>
    </w:p>
    <w:p>
      <w:r>
        <w:t>Au vu de ce qui précède, le recours sera admis. La décision attaquée sera annulée et la cause retournée à l'officier de police afin qu'il délivre le CBVM sollicité. 4)</w:t>
      </w:r>
    </w:p>
    <w:p>
      <w:r>
        <w:t>Au vu de l’issue du litige, il ne sera pas perçu d’émolument (art. 87 al. 1 LPA). Une indemnité de CHF 1'000.- à la charge de l’État de Genève sera allouée au recourant qui obtient gain de cause (art. 87 al. 2 LPA).</w:t>
      </w:r>
    </w:p>
    <w:p>
      <w:r>
        <w:t>- 8/9 - A/299/2020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