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ATA/283/2015 vom 17. März 2015</w:t>
      </w:r>
    </w:p>
    <w:p>
      <w:r>
        <w:t>GE Cour de justice, 2015-03-17, FR</w:t>
      </w:r>
    </w:p>
    <w:p>
      <w:r>
        <w:rPr>
          <w:b/>
        </w:rPr>
        <w:t xml:space="preserve">Quelle: </w:t>
      </w:r>
      <w:r>
        <w:t>https://mcp.opencaselaw.ch/entscheid/ge_gerichte_ATA_283_2015</w:t>
      </w:r>
    </w:p>
    <w:p>
      <w:r>
        <w:t>FR: GE_GERICHTE ATA/283/2015 du 17 mars 2015</w:t>
      </w:r>
    </w:p>
    <w:p>
      <w:r>
        <w:t>IT: GE_GERICHTE ATA/283/2015 del 17 marzo 2015</w:t>
      </w:r>
    </w:p>
    <w:p>
      <w:pPr>
        <w:pStyle w:val="Heading2"/>
      </w:pPr>
      <w:r>
        <w:t>Erwägungen</w:t>
      </w:r>
    </w:p>
    <w:p>
      <w:r>
        <w:rPr>
          <w:b/>
        </w:rPr>
        <w:t>E. 26</w:t>
      </w:r>
    </w:p>
    <w:p>
      <w:r>
        <w:t>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w:t>
      </w:r>
    </w:p>
    <w:p>
      <w:r>
        <w:t>- 4/7 - A/3867/2014</w:t>
      </w:r>
    </w:p>
    <w:p>
      <w:r>
        <w:t>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(ATA/183/2013 du 19 mars 2013 et la jurisprudence citée), dès lors qu'il ne ressort pas du dossier qu'il aurait quitté la prison à ce jour.</w:t>
      </w:r>
    </w:p>
    <w:p>
      <w:r>
        <w:t>Le recours est donc recevable à tous points de vue. 3)</w:t>
      </w:r>
    </w:p>
    <w:p>
      <w:r>
        <w:t>Le recourant se plaint de ce que son placement pour deux jours en cellule forte serait contraire au droit, dès lors qu'il n'aurait ni injurié, ni menacé les gardiens. 4)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(ATA/785/2012 du 20 novembre 2012 ; ATA/238/2012 du 24 avril 2012 et les références citées). 5) a. Le statut des personnes incarcérées à la prison est régi par le règlement sur le régime intérieur de la prison et le statut des personnes incarcérées du</w:t>
      </w:r>
    </w:p>
    <w:p>
      <w:r>
        <w:rPr>
          <w:b/>
        </w:rPr>
        <w:t>E. 30</w:t>
      </w:r>
    </w:p>
    <w:p>
      <w:r>
        <w:t>septembre 1985 (RRIP - F 1 50.04 ; art. 1 al. 3 de la loi sur l’organisation et le personnel de la prison du 21 juin 1984 - LOPP - F 1 50).</w:t>
      </w:r>
    </w:p>
    <w:p>
      <w:r>
        <w:t>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w:t>
      </w:r>
    </w:p>
    <w:p>
      <w:r>
        <w:t>- 5/7 - A/3867/2014 des tiers (art. 44 RRIP) et n’a d’aucune façon le droit de troubler l’ordre et la tranquillité de la prison (art. 45 let. h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d. Selon les art. 47 al. 3 et 47 al. 5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 6)</w:t>
      </w:r>
    </w:p>
    <w:p>
      <w:r>
        <w:t>De jurisprudence constante, la chambre de céans accorde généralement valeur probante aux constatations figurant dans un rapport de police, établi par des agents assermentés (ATA/99/2014 du 18 février 2014 consid. 5b et les références citées), sauf si des éléments permettent de s’en écarter. Dès lors que les agents de détention sont également des fonctionnaires assermentés (art. 7 LOPP), le même raisonnement peut être appliqué aux rapports établis par ces derniers. 7)</w:t>
      </w:r>
    </w:p>
    <w:p>
      <w:r>
        <w:t>En l’espèce, le recourant admet avoir dû être contraint à sortir du local téléphone, donc de n’avoir pas obtempéré à l’injonction de le quitter qui lui avait été faite par le personnel de surveillance. En adoptant un tel comportement, il a non seulement refusé de donner suite à un ordre donné par l’autorité compétente mais il a également menacé le bon déroulement du programme d’accès au téléphone pour d’autres détenus, ce qui était de nature à troubler l’ordre de la prison. C’est dès lors à juste titre que la direction de la prison a prononcé la sanction litigieuse, qui respecte le principe de la proportionnalité au vu des circonstances du cas d’espèce. 8)</w:t>
      </w:r>
    </w:p>
    <w:p>
      <w:r>
        <w:t>Compte tenu de ce qui précède, le recours sera rejeté.</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r>
        <w:t>- 6/7 - A/3867/2014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