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ATA/282/2017 vom 14. März 2017</w:t>
      </w:r>
    </w:p>
    <w:p>
      <w:r>
        <w:t>GE Cour de justice, 2017-03-14, FR</w:t>
      </w:r>
    </w:p>
    <w:p>
      <w:r>
        <w:rPr>
          <w:b/>
        </w:rPr>
        <w:t xml:space="preserve">Quelle: </w:t>
      </w:r>
      <w:r>
        <w:t>https://mcp.opencaselaw.ch/entscheid/ge_gerichte_ATA_282_2017</w:t>
      </w:r>
    </w:p>
    <w:p>
      <w:r>
        <w:t>FR: GE_GERICHTE ATA/282/2017 du 14 mars 2017</w:t>
      </w:r>
    </w:p>
    <w:p>
      <w:r>
        <w:t>IT: GE_GERICHTE ATA/282/2017 del 14 marzo 2017</w:t>
      </w:r>
    </w:p>
    <w:p>
      <w:pPr>
        <w:pStyle w:val="Heading2"/>
      </w:pPr>
      <w:r>
        <w:t>Regeste</w:t>
      </w:r>
    </w:p>
    <w:p>
      <w:r>
        <w:t>Résumé: interprétation d'une disposition du statut des employés de la ville de Genève qui prévoit que le traitement, en cas de réévaluation d'une fonction, est fixé dans la nouvelle classe de traitement en tenant compte des annuités déjà acquises. La systématique du statut, l'historique de la pratique de la ville, l'adoption de la disposition et le but que celle-ci poursuit indiquent que les termes « annuités déjà acquises » doivent se comprendre comme correspondant au montant des annuités et non pas à leur nombre. Il s'agit, en cas de réévaluation de la fonction d'un coulissement en francs.</w:t>
      </w:r>
    </w:p>
    <w:p>
      <w:pPr>
        <w:pStyle w:val="Heading2"/>
      </w:pPr>
      <w:r>
        <w:t>Erwägungen</w:t>
      </w:r>
    </w:p>
    <w:p>
      <w:r>
        <w:rPr>
          <w:b/>
        </w:rPr>
        <w:t>E. 12</w:t>
      </w:r>
    </w:p>
    <w:p>
      <w:r>
        <w:t>septembre 1985 - LPA - E 5 10 ; art. 104 SPVG). 2)</w:t>
      </w:r>
    </w:p>
    <w:p>
      <w:r>
        <w:t>Le litige concerne la fixation du traitement de la recourante après réévaluation de sa fonction. Plus précisément, il concerne la portée de l’art. 47 al. 5 SPVG, la recourante estimant arbitraire l’application faite par l’intimée de cette disposition. 3)</w:t>
      </w:r>
    </w:p>
    <w:p>
      <w:r>
        <w:t>La recourante a sollicité la production par la ville d’une note rédigée par Mme F______ à l’attention du CA, mentionnée dans l’extrait des délibérations produit.</w:t>
      </w:r>
    </w:p>
    <w:p>
      <w:r>
        <w:t>Le droit de faire administrer des preuves découlant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(arrêts du Tribunal fédéral 2C_235/2015 du 29 juillet 2015 consid. 5 ; 2C_1073/2014 du 28 juillet 2015 consid. 3.1). Le droit d’être entendu ne comprend pas le droit d'être entendu oralement (arrêt du Tribunal fédéral 1C_551/2015 du 22 mars 2016 consid. 2.2) ni celui d'obtenir l’audition de témoins (ATF 130 II 425 consid. 2.1 p. 428 ; ATA/356/2016 du 26 avril 2016).</w:t>
      </w:r>
    </w:p>
    <w:p>
      <w:r>
        <w:t>- 10/16 - A/581/2015</w:t>
      </w:r>
    </w:p>
    <w:p>
      <w:r>
        <w:t>En l’occurrence, l’extrait du CA figurant au dossier donne clairement la position de celui-ci sur la question litigieuse et la note de la conseillère administrative, qui constitue en outre une communication interne au CA, ne pourrait apporter aucun élément supplémentaire nécessaire à établir ce point.</w:t>
      </w:r>
    </w:p>
    <w:p>
      <w:r>
        <w:t>La chambre administrative dispose ainsi des éléments nécessaires pour statuer en connaissance de cause et ne donnera pas suite à la requête de la recourante. 4) a. Le pouvoir d’examen de la chambre administrative est limité à la violation du droit, y compris l’excès et l’abus du pouvoir d’appréciation (art. 61 al. 1 let. a LPA). Sauf exception prévue par la loi, la chambre de céans ne peut pas revoir l’opportunité de la décision litigieuse (art. 61 al. 2 LPA).</w:t>
      </w:r>
    </w:p>
    <w:p>
      <w:r>
        <w:t>b. Les communes disposent d’une grande liberté de décision dans la définition des modalités concernant les rapports de service qu’elles entretiennent avec leurs agents (arrêts du Tribunal fédéral 8C_78/2012 du 14 janvier 2013 consid. 6.1 ; 2P.46/2006 du 7 juin 2006 consid. 2.2 ; ATA/623/2016 du 19 juillet 2016 ; ATA/653/2015 du 23 juin 2015).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(ATA/87/2017 du 3 février 2017). 5) 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p. 565 ; 138 II 105 consid. 5.2 p. 107 ; 132 V 321 consid. 6 p. 326 ; 129 V 258 consid. 5.1 p. 263/264 et les références citées). Le Tribunal fédéral utilise les diverses méthodes d’interprétation de manière pragmatique, sans établir entre elles un ordre de priorité hiérarchique (ATF 138 II 217 consid. 4.1 p. 224 ; 133 III 175 consid. 3.3.1 p. 178 ; 125 II 206 consid. 4a p. 208/209 ; ATA/422/2008 du 26 août 2008 consid. 7). Enfin, si plusieurs interprétations sont admissibles, il faut choisir celle qui est conforme à la Constitution (ATF 119 Ia 241 consid. 7a p. 248 et les arrêts cités).</w:t>
      </w:r>
    </w:p>
    <w:p>
      <w:r>
        <w:t>- 11/16 - A/581/2015</w:t>
      </w:r>
    </w:p>
    <w:p>
      <w:r>
        <w:t>b. Une décision est arbitraire au sens de l’art. 9 de la Constitution fédérale de la Confédération suisse du 18 avril 1999 (Cst. - RS 101) lorsqu’elle est manifestement insoutenable, se trouve en contradiction claire avec la situation de fait, viole gravement une norme ou un principe juridique indiscuté ou encore heurte de manière choquante le sentiment de la justice et de l’équité. Il n’y a pas arbitraire du seul fait qu’une autre solution que celle adoptée par l’autorité intimée serait concevable, voire préférable (ATF 141 I 49 consid. 3.4 ; 140 I 201 consid. 6.1 ; 133 I 149 consid. 3.1). 6)</w:t>
      </w:r>
    </w:p>
    <w:p>
      <w:r>
        <w:t>L’art. 47 al. 5 SPVG figure dans le chapitre V, intitulé : Droits du personnel, à la section 1 : traitement.</w:t>
      </w:r>
    </w:p>
    <w:p>
      <w:r>
        <w:t>a. Le traitement annuel des membres du personnel est fixé conformément à une échelle de classes de traitement (art. 43 al. 1 SPVG). Le statut prévoit que le maximum de chaque classe de traitement est atteint par des augmentations annuelles (annuités) dont le montant dépend de la classe de traitement (art. 46 al. 1 SPVG). En annexe, une grille des traitements indique pour chaque classe ou catégorie de A à V, le traitement annuel pour chaque annuité de la classe entre 0 et 25. Cette grille indique également le montant des annuités sur 10 et 15 ans, les secondes représentant environ le tiers des premières.</w:t>
      </w:r>
    </w:p>
    <w:p>
      <w:r>
        <w:t>b. Les fonctions font l’objet d’une description, d’une évaluation et d’une classification salariale (art. 8 al. 1 SPVG). Lorsqu’une fonction est réévaluée, elle peut, suivant les constatations faites, être maintenue dans la même classe de fonction ou être placée dans une classe de fonction supérieure ou inférieure (art. 8 al. 3 SPVG).</w:t>
      </w:r>
    </w:p>
    <w:p>
      <w:r>
        <w:t>c. L’art. 47 SPVG concerne le traitement en cas de changement de poste ou de nouvelle classification. Les quatre premiers alinéas de cette disposition prévoient les modalités du traitement en cas d’affectation à un nouveau poste (art. 47 al. 1 à 4). Selon l’alinéa 1, lorsqu’un membre du personnel est affecté à un nouveau poste auquel correspond une classe de fonction supérieure, son traitement est augmenté d’une à trois annuités selon le nombre de classes dont il bénéficie en plus. Les alinéas 5 et 6 s’appliquent, à teneur de texte, lorsque la fonction exercée par un ou une membre du personnel fait l’objet d’une nouvelle classification au sens de l’art. 8 al. 3 SPVG. Dans cette hypothèse, le traitement est fixé dans la nouvelle classe de fonction dès la prise d’effet de la nouvelle classification en tenant compte des annuités déjà acquises (art. 47 al. 5 première phrase SPVG). 7)</w:t>
      </w:r>
    </w:p>
    <w:p>
      <w:r>
        <w:t>La question litigieuse est celle de savoir si ce nouveau traitement après réévaluation de la fonction – sans tenir compte des éventuels réajustements et des annuités supplémentaires pouvant être octroyées - se fait par coulissement vertical sur la grille salariale, c’est-à-dire en conservant le nombre d’annuités de l’ancien traitement ou si le coulissement se fait en francs, c’est-à-dire que le nouveau</w:t>
      </w:r>
    </w:p>
    <w:p>
      <w:r>
        <w:t>- 12/16 - A/581/2015 traitement correspond au montant de l’ancien, la classe et le nombre d’annuités étant modifiés.</w:t>
      </w:r>
    </w:p>
    <w:p>
      <w:r>
        <w:t>Dans la première interprétation, les termes « en tenant compte des annuités déjà acquises » indiquent le nombre d’annuités qui serviront à fixer le nouveau traitement dans la nouvelle classe, alors que dans la seconde, ces mêmes termes impliquent de prendre en compte le montant de l’ancien traitement y compris les annuités, pour déterminer sur la grille de salaires à quelle annuité correspond le nouveau traitement correspondant à la nouvelle classe.</w:t>
      </w:r>
    </w:p>
    <w:p>
      <w:r>
        <w:t>Il est vrai qu’une lecture hors contexte de la disposition litigieuse donne une assise au sens voulu par la recourante, mais l’interprétation retenue par la ville n’apparaît pas non plus d’emblée en contradiction avec le texte. 8)</w:t>
      </w:r>
    </w:p>
    <w:p>
      <w:r>
        <w:t>Afin de déterminer le sens qu’il faut donner à cette disposition, il convient de retenir les éléments suivants qui découlent de la systématique du statut, de l’historique de la pratique de la ville, de l’adoption de la disposition ainsi que du but qu’elle poursuit.</w:t>
      </w:r>
    </w:p>
    <w:p>
      <w:r>
        <w:t>a. Les annuités sont définies à l’art. 46 al. 1 SPVG. Selon les termes de cette disposition, elles constituent des « augmentations annuelles » du traitement. L’art. 47 al. 5 SPVG peut donc également se lire : Le traitement est fixé dans la nouvelle classe de traitement (…) en tenant compte des augmentations annuelles déjà acquises. Cette lecture corrobore l’interprétation retenue par la ville puisque dans cette version, le nombre d’annuité n’apparaît plus relevant en soi, l’accent étant clairement mis sur le montant du traitement, par l’emploi du terme augmentation.</w:t>
      </w:r>
    </w:p>
    <w:p>
      <w:r>
        <w:t>b. La ville a allégué à l’appui de son interprétation, et cela n’est pas contesté, que la méthode du coulissement en francs était celle prévalant sous l’ancien statut. En outre, les dispositions transitoires du SPVG prévoient que le coulissement entre les classes de l’ancien et celles du nouveau statut s’effectue en francs (art. 115 al. 8 SPVG – auditions M. D______ et M. G______).</w:t>
      </w:r>
    </w:p>
    <w:p>
      <w:r>
        <w:t>c. S’agissant des négociations entre partenaires sociaux ayant abouti au projet de SPVG ensuite adopté par le CM sans changement sur la question litigieuse, aucune des pièces produites ne fait état de discussions portant spécifiquement sur la question de l’interprétation qui doit être faite des termes « en tenant compte des annuités déjà acquises ». Les témoignages recueillis n’indiquent pas autre chose, la question n’ayant pas été abordée lors des négociations (auditions M. G______, Mme C______) et les termes « annuités déjà acquises » figuraient déjà dans l’avant-projet de SPVG datant de novembre 2007 ayant servi de base aux négociations.</w:t>
      </w:r>
    </w:p>
    <w:p>
      <w:r>
        <w:t>- 13/16 - A/581/2015</w:t>
      </w:r>
    </w:p>
    <w:p>
      <w:r>
        <w:t>Il apparaît donc que le coulissement d’une classe ou catégorie à une autre, en cas de réévaluation de fonction, comme en l’espèce, qui existait déjà sous l’ancien statut et s’opérait déjà en francs, n’a pas été discuté à l’occasion de l’adoption du nouveau statut.</w:t>
      </w:r>
    </w:p>
    <w:p>
      <w:r>
        <w:t>d. L’explication sur les buts de la méthode du coulissement en francs donnée par la ville, notamment exposée par la directrice de la DRH (audition Mme E______), est convaincante, dans la mesure où l’expérience de l’employé est reconnue par l’augmentation du traitement annuel selon un cahier des charges défini dans sa fonction. En cas de réévaluation de la fonction, le cahier des charges est modifié avec des compétences et des missions supplémentaires ou différentes. Il apparaît logique que dans la nouvelle fonction, il n’y ait pas de reconnaissance de l’expérience sur l’entier de la fonction. En revanche, l’expérience déjà acquise est prise en compte par le coulissement en francs et l’adjonction d’une ou plusieurs annuités par application de l’art. 47 al. 1 SPVG.</w:t>
      </w:r>
    </w:p>
    <w:p>
      <w:r>
        <w:t>e. Au vu de ce qui précède, il apparaît qu’aucun indice à l’appui de l’interprétation soutenue par la recourante n’a pu être mis en évidence et aucun motif ne permet donc de s’écarter de l’interprétation donnée par la ville dans sa décision de fixation du traitement de la recourante. Cette dernière devra être confirmée. 9)</w:t>
      </w:r>
    </w:p>
    <w:p>
      <w:r>
        <w:t>La recourante estime que l’art. 45 SPVG est applicable à la fixation de son nouveau traitement comme cela était indiqué dans un courrier envoyé aux employés par la DRH le 14 août 2014, à défaut, une inégalité de traitement serait réalisée.</w:t>
      </w:r>
    </w:p>
    <w:p>
      <w:r>
        <w:t>a. Ancré aux art. 5 al. 3 et 9 de la Constitution fédérale de la Confédération suisse du 18 avril 1999 (Cst. - RS 101), et valant pour l’ensemble de l’activité étatique, le principe de la bonne foi confère à l’administré, à certaines conditions, le droit d’exiger des autorités qu’elles se conforment aux promesses ou assurances précises qu’elles lui ont faites et ne trompent pas la confiance qu’il a légitimement placée en celles-là (ATF 138 I 49 consid. 8.3 p. 53 ; ATF 131 II 627 consid. 6.1 et la jurisprudence citée ; arrêts du Tribunal fédéral 1C_18/2015 du 22 mai 2015 consid. 3 ATA/17/2017 du 10 janvier 2017 ; ATA/141/2012 du 13 mars 2012 ; Pierre MOOR/ Alexandre FLÜCKIGER/Vincent MARTENET, Droit administratif, Vol. 1, 3ème éd., 2012, p. 922 ss, n. 6.4.1.2 et 6.4.2.1 ; Thierry TANQUEREL, Manuel de droit administratif, 2011, p. 196 s, n. 578 s.). Le même principe commande que les autorités comme les particuliers s’abstiennent, dans les relations de droit public, de tout comportement contradictoire ou abusif.</w:t>
      </w:r>
    </w:p>
    <w:p>
      <w:r>
        <w:t>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w:t>
      </w:r>
    </w:p>
    <w:p>
      <w:r>
        <w:t>- 14/16 - A/581/2015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 Pierre MOOR/Alexandre FLÜCKIGER/Vincent MARTENET, op. cit. ; Thierry TANQUEREL, op. cit. p. 196 s. n. 578 s.).</w:t>
      </w:r>
    </w:p>
    <w:p>
      <w:r>
        <w:t>b. L’art. 45 SPVG concerne le traitement initial des employés de la ville. Cette disposition est également applicable par renvoi de l’art. 47 al. 2 SPVG dans les cas de changement de poste.</w:t>
      </w:r>
    </w:p>
    <w:p>
      <w:r>
        <w:t>L’application de cet article au cas de réévaluation de fonction de la recourante ne saurait se fonder sur le principe de la bonne foi, dans la mesure où les conditions fixées par la jurisprudence pour son application, rappelées ci- dessus, ne sont pas remplies en l’espèce. Notamment, aucune promesse n’a été donnée par l’autorité compétente en matière de fixation de traitement, soit le CA (art. 4 al. 4 SPVG), l’extrait certifié conforme de la séance du CA du 30 juillet 2014 n’en faisant pas mention. Enfin, la recourante n’allègue pas avoir pris de disposition irréversible fondée sur l’information erronée transmise par la DRH.</w:t>
      </w:r>
    </w:p>
    <w:p>
      <w:r>
        <w:t>c. Il n’est pas contesté par les parties que dans certains cas, l’application de l’art. 45 SPVG pourrait aboutir à fixer un traitement différent de celui fixé en cas de réévaluation de fonction. Mais, comme l’a souligné l’intimée, le SPVG ne prévoit pas que la fixation du traitement de la recourante et celle d’un hypothétique employé nouvellement engagé doivent être identiques, de sorte que le grief de violation du principe de l’égalité de traitement doit être écarté d’emblée. Cette conclusion s’impose également parce que la recourante n’allègue pas que l’art. 45 SPVG aurait été appliqué dans une autre situation de réévaluation de fonction similaire à la sienne.</w:t>
      </w:r>
    </w:p>
    <w:p>
      <w:r>
        <w:t>Les griefs seront donc écartés. 10) En définitive, en tous points infondé, le recours sera rejeté.</w:t>
      </w:r>
    </w:p>
    <w:p>
      <w:r>
        <w:t>Vu l’issue du litige, un émolument de CHF 1'000.- (art. 87 al. 1 LPA) sera mis à la charge de la recourante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