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ATA/281/2020 vom 10. März 2020</w:t>
      </w:r>
    </w:p>
    <w:p>
      <w:r>
        <w:t>GE Cour de justice, 2020-03-10, FR</w:t>
      </w:r>
    </w:p>
    <w:p>
      <w:r>
        <w:rPr>
          <w:b/>
        </w:rPr>
        <w:t xml:space="preserve">Quelle: </w:t>
      </w:r>
      <w:r>
        <w:t>https://mcp.opencaselaw.ch/entscheid/ge_gerichte_ATA_281_2020</w:t>
      </w:r>
    </w:p>
    <w:p>
      <w:r>
        <w:t>FR: GE_GERICHTE ATA/281/2020 du 10 mars 2020</w:t>
      </w:r>
    </w:p>
    <w:p>
      <w:r>
        <w:t>IT: GE_GERICHTE ATA/281/2020 del 10 marzo 2020</w:t>
      </w:r>
    </w:p>
    <w:p>
      <w:pPr>
        <w:pStyle w:val="Heading2"/>
      </w:pPr>
      <w:r>
        <w:t>Erwägungen</w:t>
      </w:r>
    </w:p>
    <w:p>
      <w:r>
        <w:rPr>
          <w:b/>
        </w:rPr>
        <w:t>E. 18</w:t>
      </w:r>
    </w:p>
    <w:p>
      <w:r>
        <w:t>décembre 2018 consid. 3a ; ATA/70/2014 du 5 février 2014 consid. 4b ; ATA/603/2011 du 23 septembre 2011 consid. 2).</w:t>
      </w:r>
    </w:p>
    <w:p>
      <w:r>
        <w:t>- 5/9 - A/3532/2019</w:t>
      </w:r>
    </w:p>
    <w:p>
      <w:r>
        <w:t>b. L’autorité peut d’office ou sur requête ordonner des mesures provisionnelles en exigeant au besoin des sûretés (art. 21 al. 1 LPA).</w:t>
      </w:r>
    </w:p>
    <w:p>
      <w:r>
        <w:t>Selon la jurisprudence de la chambre administrative, des mesures provisionnelles ne sont légitimes que si elles s’avèrent indispensables au maintien d’un état de fait ou à la sauvegarde d’intérêts compromis (ATF 119 V 503 consid. 3 ; ATA/1369/2018 précité ; ATA/566/2012 du 21 août 2012 consid. 4).</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c. Lorsqu’elle statue sur mesures provisionnelles, l'autorité de recours dispose d'un large pouvoir d'appréciation, qui varie selon la nature de l'affaire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3)</w:t>
      </w:r>
    </w:p>
    <w:p>
      <w:r>
        <w:t>En l’espèce, il convient, en premier lieu, de relever que la décision de l’OCPM comporte, d’une part, le rejet de la demande de regroupement familial et, d’autre part, impartit aux enfants du recourant un délai pour quitter la Suisse.</w:t>
      </w:r>
    </w:p>
    <w:p>
      <w:r>
        <w:t>La demande de mesures provisionnelles et de restitution de l’effet suspensif doit donc être examinée séparément pour chacun de ces aspects.</w:t>
      </w:r>
    </w:p>
    <w:p>
      <w:r>
        <w:t>a. En ce qui concerne le rejet de la demande de regroupement familial, il y a lieu de retenir que la restitution de l’effet suspensif serait, sur ce point, sans portée. En effet, la restitution dudit effet emporterait le maintien de la situation existante avant le prononcé de la décision querellée, à savoir l’absence d’autorisation de séjour. Seul entre ainsi en considération le prononcé de mesures provisionnelles.</w:t>
      </w:r>
    </w:p>
    <w:p>
      <w:r>
        <w:t>Or, l’octroi d’un titre de séjour par voie de mesures provisionnelles reviendrait à accorder aux enfants du recourant ce que celui-ci sollicite au fond. La question de savoir si la décision de l’OCPM de rejeter la demande de</w:t>
      </w:r>
    </w:p>
    <w:p>
      <w:r>
        <w:t>- 6/9 - A/3532/2019 regroupement familial est bien fondée fait cependant précisément l’objet du fond du litige.</w:t>
      </w:r>
    </w:p>
    <w:p>
      <w:r>
        <w:t>b.</w:t>
      </w:r>
    </w:p>
    <w:p>
      <w:r>
        <w:t>S’agissant du délai imparti par l’OCPM pour que les enfants quittent la Suisse, point susceptible de restitution de l’effet suspensif, il convient de procéder à la pesée des intérêts en présence. L’intérêt public à l’éloignement immédiat des enfants, certes important, doit toutefois être relativisé. L’OCPM a en effet rendu la décision de refus aujourd’hui litigieuse plus de deux ans après le dépôt formel de la requête et plus de trois ans après qu’il ait été informé par le recourant de son désir de faire venir ses enfants en Suisse.</w:t>
      </w:r>
    </w:p>
    <w:p>
      <w:r>
        <w:t>L’intérêt des enfants à pouvoir rester en Suisse, à tout le moins pendant la durée de la procédure apparaît, quant à lui, déterminant. B_____ et C______ ont, pendant la durée de la procédure, appris le français et suivi leur scolarité à Genève avec un succès certain. Le fait que les enfants soient scolarisés et que le retrait de l’effet suspensif a pour conséquence d’interrompre leur scolarité avant la fin de l’année scolaire porte une atteinte importante à leurs intérêts. Il en va de même de la séparation d’avec leur père, qui pourrait, en cas d’admission du recours, conduire à une séparation inutile, quand bien même elle serait temporaire.</w:t>
      </w:r>
    </w:p>
    <w:p>
      <w:r>
        <w:t>De plus, le recours n’apparaît pas manifestement dénué de chances de succès. En effet, dans la mesure où l’on retiendrait que le regroupement familial nécessiterait, pour être accordé, l’existence de raisons familiales majeures – malgré les déclarations d’intention faites par le recourant et son épouse à l’OCPM en 2016 déjà – le fait que les enfants résidaient avant leur arrivée en Suisse chez feu leurs grands-parents paternels, et cela à première vue depuis plusieurs années, pourrait, prima facie, constituer de telles raisons.</w:t>
      </w:r>
    </w:p>
    <w:p>
      <w:r>
        <w:t>Au vu de ces éléments, il convient de retenir que l’intérêt privé des enfants à la restitution de l’effet suspensif l’emporte sur l’intérêt public à leur éloignement. Outre les motifs déjà évoqués, il y a lieu de relever que les enfants ont déjà dû faire face à plusieurs déracinements et qu’il est, à première vue, essentiel de ne pas leur en imposer inutilement un nouveau.</w:t>
      </w:r>
    </w:p>
    <w:p>
      <w:r>
        <w:t>De plus, les éventuels reproches que l’on peut faire au recourant en lien avec son silence au sujet de ses deux fils en 2011, ou encore en lien avec l’arrivée des enfants en Suisse au bénéfice d’un visa d’un mois, en 2017, ne peut bien évidemment pas porter, au stade de la décision sur effet suspensif, préjudice aux enfants, qui n’en sont pas responsables.</w:t>
      </w:r>
    </w:p>
    <w:p>
      <w:r>
        <w:t>Partant, la pesée des intérêts penche, in casu, en faveur de la restitution de l’effet suspensif en ce qui concerne le délai imparti aux deux fils du recourant pour quitter la Suisse.</w:t>
      </w:r>
    </w:p>
    <w:p>
      <w:r>
        <w:t>- 7/9 - A/3532/2019</w:t>
      </w:r>
    </w:p>
    <w:p>
      <w:r>
        <w:t>En conclusion, le jugement sera annulé en ce qui concerne le délai de départ imparti aux enfants et la requête de mesures provisionnelles rejetée pour le surplus. 4)</w:t>
      </w:r>
    </w:p>
    <w:p>
      <w:r>
        <w:t>Les recourants obtenant partiellement gain de cause, il n’y a pas lieu à perception d’un émolument (art. 87 al.1 LPA). En revanche, une indemnité réduite de procédure de CHF 800.-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