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ATA/281/2010 vom 27. April 2010</w:t>
      </w:r>
    </w:p>
    <w:p>
      <w:r>
        <w:t>GE Cour de justice, 2010-04-27, FR</w:t>
      </w:r>
    </w:p>
    <w:p>
      <w:r>
        <w:rPr>
          <w:b/>
        </w:rPr>
        <w:t xml:space="preserve">Quelle: </w:t>
      </w:r>
      <w:r>
        <w:t>https://mcp.opencaselaw.ch/entscheid/ge_gerichte_ATA_281_2010</w:t>
      </w:r>
    </w:p>
    <w:p>
      <w:r>
        <w:t>FR: GE_GERICHTE ATA/281/2010 du 27 avril 2010</w:t>
      </w:r>
    </w:p>
    <w:p>
      <w:r>
        <w:t>IT: GE_GERICHTE ATA/281/2010 del 27 aprile 2010</w:t>
      </w:r>
    </w:p>
    <w:p>
      <w:pPr>
        <w:pStyle w:val="Heading2"/>
      </w:pPr>
      <w:r>
        <w:t>Erwägungen</w:t>
      </w:r>
    </w:p>
    <w:p>
      <w:r>
        <w:rPr>
          <w:b/>
        </w:rPr>
        <w:t>E. 1</w:t>
      </w:r>
    </w:p>
    <w:p>
      <w:r>
        <w:t>Interjeté en temps utile et auprès de la juridiction compétente, le recours est recevable (art. 56A al. 1 et 2 de la loi sur l’organisation judiciaire du 22 novembre 1941 - LOJ - E 2 05 ; art. 63 al. 1 let. b LPA).</w:t>
      </w:r>
    </w:p>
    <w:p>
      <w:r>
        <w:rPr>
          <w:b/>
        </w:rPr>
        <w:t>E. 2</w:t>
      </w:r>
    </w:p>
    <w:p>
      <w:r>
        <w:t>L'étranger entré légalement en Suisse pour un séjour temporaire et qui dépose ultérieurement une demande d'autorisation de séjour, doit attendre la décision à l'étranger (art. 17 al. 1 LEtr). Il peut être autorisé à séjourner en Suisse si les conditions d'admission sont manifestement remplies (art. 17 al. 2 LEtr). Tel est le cas lorsque la documentation fournie atteste d'un droit légal ou d'un droit découlant du droit international public à l'octroi d'une autorisation de séjour (art. 6 OASA).</w:t>
      </w:r>
    </w:p>
    <w:p>
      <w:r>
        <w:t>- 5/8 - A/721/2010</w:t>
      </w:r>
    </w:p>
    <w:p>
      <w:r>
        <w:rPr>
          <w:b/>
        </w:rPr>
        <w:t>E. 3</w:t>
      </w:r>
    </w:p>
    <w:p>
      <w:r>
        <w:t>Toute personne a droit au respect de sa vie privée et familiale, de son domicile et de sa correspondance (art. 8 al. 1 de la Convention de sauvegarde des droits de l’homme et des libertés fondamentales du 4 novembre 1950 - CEDH - RS 0.101). Il ne peut y avoir ingérence de la part de l'autorité publique, par l'exercice de ce droit, que pour autant que celle-là soit prévue par la loi et qu'elle constitue une mesure nécessaire à la sécurité nationale, à la sûreté publique, au bien-être économique du pays ou à la défense de l'ordre et à la prévention des infractions pénales, à la protection de la santé ou de la morale, ou à la protection des droits et libertés d'autrui (art. 8 al. 2 CEDH).</w:t>
      </w:r>
    </w:p>
    <w:p>
      <w:r>
        <w:t>Aux termes de l'art. 42 LEtr, le conjoint d'un ressortissant suisse a droit à l'octroi d'une autorisation de séjour et à la prolongation de sa durée de validité à condition de vivre en ménage commun avec lui.</w:t>
      </w:r>
    </w:p>
    <w:p>
      <w:r>
        <w:rPr>
          <w:b/>
        </w:rPr>
        <w:t>E. 4</w:t>
      </w:r>
    </w:p>
    <w:p>
      <w:r>
        <w:t>Un étranger peut faire l'objet d'une mesure d'interdiction d'entrée en Suisse s'il a attenté de manière grave ou répétée à la sécurité, l'ordre public en Suisse ou à l'étranger ou les a mis en danger (art. 67 al 1 let. a LEtr), ou s'il a occasionné des coûts en matière d'aide sociale (art. 67 al. 1 let. b LEtr). Cette disposition a remplacé depuis le 1er janvier 2008 l'art. 13 de la loi fédérale sur le séjour et l’établissement des étrangers du 26 mars 1931 (LSEE - RS 142.20) qui constituait la base légale sur laquelle se fondait le droit des autorités de prendre des mesures d'interdiction d'entrée en Suisse. Au terme de celle-ci, l'autorité fédérale pouvait interdire l'entrée en Suisse d'étrangers indésirables. Elle peut aussi, mais pour une durée n'excédant pas trois ans, interdire l'entrée en Suisse d'étrangers qui ont contrevenu gravement ou à réitérées reprises à des prescriptions sur la police des étrangers, à d'autres dispositions légales ou des décisions d'autorité fondées sur ces dispositions.</w:t>
      </w:r>
    </w:p>
    <w:p>
      <w:r>
        <w:rPr>
          <w:b/>
        </w:rPr>
        <w:t>E. 5</w:t>
      </w:r>
    </w:p>
    <w:p>
      <w:r>
        <w:t>a. Le recours a pour objet le refus par la CCRA d'autoriser l’intéressé, par la restitution de l’effet suspensif ou l'ordonnance de mesures provisionnelles, à résider en Suisse pendant la durée de la procédure du recours qu'il a interjeté contre la décision incidente de l'OCP du 15 février 2010 qui refuse de l'autoriser à séjourner en Suisse pendant qu'elle réexamine sa décision du 3 juin 2004.</w:t>
      </w:r>
    </w:p>
    <w:p>
      <w:r>
        <w:t>b. Selon l'art. 21 al. 1 LPA, l'autorité de recours peut d'office ou sur requête ordonner des mesures provisionnelles, soit des mesures visant à régler la situation pendant la durée de la procédure, pour maintenir un état de fait ou sauvegarder des intérêts compromis, jusqu'à ce que soit prise la décision finale (P. MOOR, Droit administratif, vol. 2, 2ème éd., 2002, no 2.2.6.8, p. 267 ; ATA 280/2009 du 9 juin 2009). De telles mesures ne peuvent toutefois ni anticiper sur le jugement définitif ni équivaloir à une condamnation provisoire sur le fond, ni non plus aboutir à rendre illusoire le procès au fond (ATF 109 ch. V 506 ; ATA 35/2010 du 9 janvier 2010 et jurisprudence citée ; I. HAENER, « Vorsorglichen Massnahmen in Verwaltungsverfahren und Verwaltungsprozess » in Les mesures provisoires en procédure civile, administrative et pénale, 1987, p. 26).</w:t>
      </w:r>
    </w:p>
    <w:p>
      <w:r>
        <w:t>- 6/8 - A/721/2010</w:t>
      </w:r>
    </w:p>
    <w:p>
      <w:r>
        <w:rPr>
          <w:b/>
        </w:rPr>
        <w:t>E. 6</w:t>
      </w:r>
    </w:p>
    <w:p>
      <w:r>
        <w:t>Devant la juridiction de céans, le recourant ne prétend plus, à juste titre, à la restitution d'un effet suspensif au recours contre la décision attaquée. Il considère, en revanche, que la CCRA a violé l'art. 21 LPA parce qu'elle n'a pas retenu, dans l'examen des conditions d'octroi des mesures provisionnelles sollicitées, que l'art. 42 al. 1 LEtr lui donnait un droit à se voir octroyer une autorisation de séjour, ce qui devait entraîner, eu égard à la teneur de l'art. 17 al. 2 LEtr, qu'il soit autorisé à séjourner en Suisse pendant la durée de l'examen de son recours.</w:t>
      </w:r>
    </w:p>
    <w:p>
      <w:r>
        <w:t>Ce faisant, il omet de considérer que son statut en Suisse a déjà fait l'objet d'une décision : depuis le 11 juillet 2001, une mesure d'interdiction d'entrée en Suisse, exécutoire et valable pour une durée indéterminée, a été prise à son encontre, qui ne l'autorise pas à s'y rendre et encore moins à y résider (art. 5 al 1 let. d LEtr), tant qu'elle n'est pas rapportée. N'étant pas entré en Suisse légalement ( art. 17 al. 1 LEtr), il n'est déjà, de ce seul fait, pas fondé à requérir d'être autorisé à y rester en vertu de l'art. 17 al. 2 LEtr. Au surplus, la requête qu'il a présentée à l'OCP le 2 février 2010 est une demande en réexamen de la décision du 3 juin 2004 confirmée par le Tribunal fédéral le 2 mars 2006, qui ne lui reconnaît aucun droit à séjourner en Suisse (art. 48 al. 2 LPA).</w:t>
      </w:r>
    </w:p>
    <w:p>
      <w:r>
        <w:t>Autoriser le recourant à résider dans ce pays pendant la durée de la procédure de recours devant la CCRA reviendrait à lui accorder de manière anticipée ce qu'il requiert sur le fond, ce qui sort du cadre des mesures autorisées par l'art. 21 LPA. C'est donc à juste titre que la CCRA n'est pas entrée en matière sur ces conclusions préalables dans sa décision incidente du 12 mars 2010.</w:t>
      </w:r>
    </w:p>
    <w:p>
      <w:r>
        <w:rPr>
          <w:b/>
        </w:rPr>
        <w:t>E. 7</w:t>
      </w:r>
    </w:p>
    <w:p>
      <w:r>
        <w:t>Le recourant se plaint que l'OCP ait conditionné l'examen de sa requête en reconsidération du 2 février 2010 au fait qu'il ait quitté la Suisse. Selon lui, la décision attaquée doit également être annulée parce que la CCRA n'a pas traité de cet aspect du litige, commettant ainsi un déni de justice. Ce grief tombe à faux. Le recourant oublie que le présent recours vise une décision de la CCRA statuant sur mesures provisionnelles, et non pas la décision que celle-ci devra rendre sur le fond. Selon l'art. 69 al. 1 LPA, la juridiction administrative chargée de statuer est liée par les conclusions des parties. Dès lors que, dans son recours à la CCRA du 26 février 2010, l’intéressé n'avait formulé aucune conclusion, ni même aucun grief se rapportant à cette problématique, il ne peut être reproché à cette autorité de ne pas avoir statué sur cette question.</w:t>
      </w:r>
    </w:p>
    <w:p>
      <w:r>
        <w:rPr>
          <w:b/>
        </w:rPr>
        <w:t>E. 8</w:t>
      </w:r>
    </w:p>
    <w:p>
      <w:r>
        <w:t>Le recours sera rejeté. Le présent arrêt, qui tranche le fond du litige relatif à la décision incidente du 12 mars 2010 de la CCRA, rend superfétatoire qu'il soit statué sur les conclusions prises par le recourant à titre provisionnel devant le tribunal de céans.</w:t>
      </w:r>
    </w:p>
    <w:p>
      <w:r>
        <w:rPr>
          <w:b/>
        </w:rPr>
        <w:t>E. 9</w:t>
      </w:r>
    </w:p>
    <w:p>
      <w:r>
        <w:t>Un émolument de CHF 500.- sera mis à la charge du recourant qui succombe. Aucune indemnité de procédure ne sera allouée (art. 87 LPA). * * * * *</w:t>
      </w:r>
    </w:p>
    <w:p>
      <w:r>
        <w:t>- 7/8 - A/721/2010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