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ATA/27/2017 vom 17. Januar 2017</w:t>
      </w:r>
    </w:p>
    <w:p>
      <w:r>
        <w:t>GE Cour de justice, 2017-01-17, FR</w:t>
      </w:r>
    </w:p>
    <w:p>
      <w:r>
        <w:rPr>
          <w:b/>
        </w:rPr>
        <w:t xml:space="preserve">Quelle: </w:t>
      </w:r>
      <w:r>
        <w:t>https://mcp.opencaselaw.ch/entscheid/ge_gerichte_ATA_27_2017</w:t>
      </w:r>
    </w:p>
    <w:p>
      <w:r>
        <w:t>FR: GE_GERICHTE ATA/27/2017 du 17 janvier 2017</w:t>
      </w:r>
    </w:p>
    <w:p>
      <w:r>
        <w:t>IT: GE_GERICHTE ATA/27/2017 del 17 gennaio 2017</w:t>
      </w:r>
    </w:p>
    <w:p>
      <w:pPr>
        <w:pStyle w:val="Heading2"/>
      </w:pPr>
      <w:r>
        <w:t>Regeste</w:t>
      </w:r>
    </w:p>
    <w:p>
      <w:r>
        <w:t>Résumé: La vie commune des époux en Suisse ayant pris fin et duré moins de trois ans, le recourant, ressortissant de la Côte d'Ivoire, ne peut pas bénéficier d'une autorisation de séjour fondée sur son mariage avec une personne au bénéfice d'une autorisation d'établissement en Suisse. Ayant sollicité le renouvellement de son autorisation de séjour pour cas de rigueur, le recourant n'a toutefois pas démontré avoir subi les violences conjugales alléguées, ni que sa réintégration sociale dans son pays d'origine serait fortement compromise ou encore que son état de santé constituerait un cas de rigueur. Recours rejeté.</w:t>
      </w:r>
    </w:p>
    <w:p>
      <w:pPr>
        <w:pStyle w:val="Heading2"/>
      </w:pPr>
      <w:r>
        <w:t>Erwägungen</w:t>
      </w:r>
    </w:p>
    <w:p>
      <w:r>
        <w:rPr>
          <w:b/>
        </w:rPr>
        <w:t>E. 26</w:t>
      </w:r>
    </w:p>
    <w:p>
      <w:r>
        <w:t>septembre 2010 - LOJ - E 2 05 ; art. 62 al. 1 let. a de la loi sur la procédure administrative du 12 septembre 1985 - LPA - E 5 10).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w:t>
      </w:r>
    </w:p>
    <w:p>
      <w:r>
        <w:t>La chambre de céans déduit des conclusions prises pas le recourant qu’il sollicite l’audition du médecin ayant traité son épouse à l'hôpital Beau-Séjour où cette dernière était suivie en raison de crises de colère.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b. En l'espèce, les propos du médecin ayant traité l'épouse du recourant ne pourront être recueillis que s'il est dûment délié de son secret professionnel. Par ailleurs, même à supposer que ce dernier confirme que sa patiente souffre de crises de colère, ce fait ne serait pas suffisant, ainsi qu'il sera exposé ci-après, pour retenir la véracité des allégués du recourant sur les prétendues violences dont il aurait été victime.</w:t>
      </w:r>
    </w:p>
    <w:p>
      <w:r>
        <w:t>La mesure d'instruction requise par le recourant sera donc écartée.</w:t>
      </w:r>
    </w:p>
    <w:p>
      <w:r>
        <w:t>- 8/14 - A/2448/2016 4)</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la Côte d'Ivoire.</w:t>
      </w:r>
    </w:p>
    <w:p>
      <w:r>
        <w:t>a. Le conjoint étranger du titulaire d’une autorisation d’établissement a droit à l’octroi d’une autorisation de séjour et à la prolongation de sa durée de validité à condition de vivre en ménage commun avec lui (art. 43 al. 1 LEtr).</w:t>
      </w:r>
    </w:p>
    <w:p>
      <w:r>
        <w:t>b.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w:t>
      </w:r>
    </w:p>
    <w:p>
      <w:r>
        <w:t>c. En l’espèce, l’union conjugale a duré du 17 mars 2014 au 16 janvier 2016, soit moins que les trois ans requis par la loi, ce que le recourant ne conteste d'ailleurs pas. L’application de l’art. 50 al. 1 let. a LEtr étant ainsi exclue, il n’est pas nécessaire d’examiner la condition de la réussite de l’intégration. 5)</w:t>
      </w:r>
    </w:p>
    <w:p>
      <w:r>
        <w:t>Le recourant se prévaut d'avoir été victime de violences conjugales, ce qui justifierait le renouvellement de son autorisation de séjour.</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w:t>
      </w:r>
    </w:p>
    <w:p>
      <w:r>
        <w:t>- 9/14 - A/2448/2016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w:t>
      </w:r>
    </w:p>
    <w:p>
      <w:r>
        <w:t>- 10/14 - A/2448/2016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w:t>
      </w:r>
    </w:p>
    <w:p>
      <w:r>
        <w:t>d. En l'espèce, le recourant est âgé de 47 ans et a vécu en Côte d'Ivoire jusqu'à son arrivée en Suisse à l'âge de 44 ans.</w:t>
      </w:r>
    </w:p>
    <w:p>
      <w:r>
        <w:t>Le fait que Mme A______ ait régulièrement contrôlé sa présence sur son lieu de travail ne permet pas de conclure à des maltraitances de sa part. Les déclarations écrites des deux collègues de la B______ ayant constaté, à une reprise, au mois de juillet 2014, des marques sur le visage et le cou du recourant, ainsi qu'un état déprimé de celui-ci, ne sont, elles non plus, pas suffisantes pour établir qu'il aurait été victime de violences conjugales. À cet égard, l'épouse s'est plainte de maltraitances ayant eu lieu à la même époque, en juillet 2014, de sorte qu'il n'est pas exclu qu'elle ait tenté de se défendre ou, du moins, qu'une altercation - exceptionnelle - soit survenue à cette date dans le couple.</w:t>
      </w:r>
    </w:p>
    <w:p>
      <w:r>
        <w:t>Les explications du recourant sur les prétendues violences subies ne sont au surplus pas convaincantes. Invité à donner davantage de précisions sur ces mauvais traitements, il s'est limité à reprendre mot pour mot des récits publiés par des tiers sur internet. Si des situations de vie peuvent être semblables, elles ne sauraient correspondre en tous points. Le recourant ne peut pas se retrancher derrière une prétendue intervention de sa permanence juridique qui l'aurait aidé à rédiger l'histoire de son vécu. Il lui eût appartenu, même dans une telle hypothèse, de s'assurer que cette dernière corresponde à sa situation personnelle. Ces éléments font en revanche fortement supposer que le recourant n'a jamais subi de telles violences. S'il les avait vécues, il aurait été à même de les décrire sans avoir besoin de recourir aux récits de tiers.</w:t>
      </w:r>
    </w:p>
    <w:p>
      <w:r>
        <w:t>Au demeurant, le recourant n'a fait état de violences conjugales et ne s'est rendu auprès d'associations de prévention contre la violence qu'après le dépôt de la plainte pénale de son épouse à son encontre le 7 décembre 2015, ce qui plaide en faveur d'un récit élaboré pour les besoins de la cause.</w:t>
      </w:r>
    </w:p>
    <w:p>
      <w:r>
        <w:t>S’agissant des virus que le recourant soutient avoir contractés durant le mariage (herpès et hépatite B), ces problèmes de santé n'atteignent pas le degré de gravité requis pour constituer une raison personnelle majeure accordant un droit au renouvellement du permis de séjour au sens des art. 50 al. 1 let. b et 50 al. 2 LEtr. Le recourant, qui ne fait état d'aucun traitement spécifique, ne l'allègue d'ailleurs pas. Au surplus, le suivi d'un éventuel traitement pourra parfaitement se faire en Côte d'Ivoire.</w:t>
      </w:r>
    </w:p>
    <w:p>
      <w:r>
        <w:t>Par ailleurs, aucun élément du dossier ne démontre que sa réintégration sociale dans son pays d'origine serait fortement compromise. Le recourant y a en</w:t>
      </w:r>
    </w:p>
    <w:p>
      <w:r>
        <w:t>- 11/14 - A/2448/2016 effet vécu toute son enfance, son adolescence et une partie importante de sa vie d’adulte. De plus, il pourra mettre en avant l’expérience professionnelle acquise sur le territoire helvétique, ce qui constitue un atout pour sa réintégration.</w:t>
      </w:r>
    </w:p>
    <w:p>
      <w:r>
        <w:t>Enfin, d'après le courrier du 12 mai 2016 adressé par le Ministère public à l'OCPM, la présence du recourant en Suisse n'apparaît pas nécessaire en raison de la procédure pénale 1______. Le recourant ne l'invoque du reste pas. Il demande en revanche à pouvoir séjourner en Suisse jusqu'au prononcé du divorce. Or, l’introduction d’une procédure en divorce ne justifie pas sa présence en Suisse, dès lors qu’il pourrait se faire représenter par un mandataire (arrêts du Tribunal fédéral 2C_6/2007 du 16 mars 2007, qui précise la portée de l'ATF 121 II 97 consid. 4a ; 2A.518/2005 du 6 septembre 2005, consid. 3). Au demeurant, l’existence même d’une procédure en divorce n’est pas établie.</w:t>
      </w:r>
    </w:p>
    <w:p>
      <w:r>
        <w:t>Par conséquent et en application des art. 50 al. 1 let. b et 50 al. 2 LEtr, ainsi qu'à la lumière des critères de l'art. 31 OASA, le recourant ne peut se prévaloir de l'existence de raisons personnelles majeures imposant la poursuite de son séjour en Suisse. 6) a. Aux termes de l’art. 64 al. 1 let. c LEtr, tout étranger dont l’autorisation est refusée, révoquée ou n’est pas prolongée après un séjour autorisé est renvoyé. La décision de renvoi est assortie d’un délai de départ raisonnable (art. 64 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et le dossier ne laisse pas apparaître d’éléments qui tendraient à démontrer le contraire. 7)</w:t>
      </w:r>
    </w:p>
    <w:p>
      <w:r>
        <w:t>Au vu de ce qui précède, l’OCPM n’a ni excédé ni abusé de son pouvoir d’appréciation en refusant, par décision du 29 juin 2016, de renouveler l’autorisation de séjour du recourant. C'est ainsi à juste titre que le TAPI l'a confirmée.</w:t>
      </w:r>
    </w:p>
    <w:p>
      <w:r>
        <w:t>Le recours sera rejeté.</w:t>
      </w:r>
    </w:p>
    <w:p>
      <w:r>
        <w:t>- 12/14 - A/2448/2016 8)</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