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ATA/279/2010 vom 27. April 2010</w:t>
      </w:r>
    </w:p>
    <w:p>
      <w:r>
        <w:t>GE Cour de justice, 2010-04-27, FR</w:t>
      </w:r>
    </w:p>
    <w:p>
      <w:r>
        <w:rPr>
          <w:b/>
        </w:rPr>
        <w:t xml:space="preserve">Quelle: </w:t>
      </w:r>
      <w:r>
        <w:t>https://mcp.opencaselaw.ch/entscheid/ge_gerichte_ATA_279_2010</w:t>
      </w:r>
    </w:p>
    <w:p>
      <w:r>
        <w:t>FR: GE_GERICHTE ATA/279/2010 du 27 avril 2010</w:t>
      </w:r>
    </w:p>
    <w:p>
      <w:r>
        <w:t>IT: GE_GERICHTE ATA/279/2010 del 27 aprile 2010</w:t>
      </w:r>
    </w:p>
    <w:p>
      <w:pPr>
        <w:pStyle w:val="Heading2"/>
      </w:pPr>
      <w:r>
        <w:t>Regeste</w:t>
      </w:r>
    </w:p>
    <w:p>
      <w:r>
        <w:t>Résumé: Recours d'un chauffeur de limousine contre une décision l'obligeant à se soumettre à une expertise avant de prononcer un retrait éventuel. Le recourant ayant été interpelé dans le cadre d'un trafic de stupéfiant et ayant reconnu être un consommateur régulier de haschich. Rejet du recours, l'OCAN étant fondé à concevoir des doutes sérieux sur l'aptitude à la conduite du recourant en relation avec sa consommation de stupéfiants.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allègue être victime d'un déni de justice formel car la CCRA n'a pas examiné le grief de la violation de son droit d'être entendu par l'OCAN.</w:t>
      </w:r>
    </w:p>
    <w:p>
      <w:r>
        <w:t>a. Selon la jurisprudence, il y a déni de justice formel prohibé par l’art. 29 al. 1er de la Constitution fédérale de la Confédération suisse du 18 avril 1999 (Cst. - RS 101), lorsqu’une autorité ne statue pas sur une requête qui lui est présentée et qui relève de sa compétence ou n’entre pas en matière sur un moyen de droit, alors qu’elle devait statuer à son sujet (ATF 133 II 235 consid. 5.2 p. 248 ; 129 I 232 consid. 3.2 p. 236 ; 126 I 97 consid. 2b p. 103 ; 125 III 440 consid. 2a p. 441 ; 117 Ia 116 consid. 3a p. 117 ; Arrêt du Tribunal fédéral 1A.321/2005 du 27 janvier 2006 consid 2.1). L’obligation de statuer n’oblige cependant pas l’autorité à répondre à tous les griefs d’une partie. Ainsi, l’autorité ne viole pas le droit d’être entendu lorsqu’elle omet de statuer sur des griefs spécifiques dont le rejet s’impose, compte tenu de la solution adoptée (ATF 126 I 97 consid. 2b p. 102 ; Arrêt du Tribunal fédéral 1P.532/2001 du 15 novembre 2001 consid.2a ; ATA/72/2008 du 19 février 2008 consid. 3).</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ATF 2C_573/2007 du 23 janvier 2008 consid. 2.3 et les arrêts cités ; ATA/415/2008 du 26 août 2008 consid. 6a et les arrêts cités).</w:t>
      </w:r>
    </w:p>
    <w:p>
      <w:r>
        <w:t>c. 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ATF 1C.63/2008 du 25 août 2008 consid. 2.1) ; elle peut cependant se justifier en présence d'un vice grave lorsque le renvoi constituerait</w:t>
      </w:r>
    </w:p>
    <w:p>
      <w:r>
        <w:t>- 5/7 - A/1627/2009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même si le droit d'être entendu du recourant avait été violé par l'OCAN, cette violation aura été réparée dans le cadre de la procédure de recours devant le tribunal de céans, celui-ci disposant d'un plein pouvoir d'examen. Selon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En l'occurrence, les possibilités offertes au recourant dans le cadre de la procédure devant la CCRA remplissent ces conditions étant donné qu'il a pu faire valoir son point de vue devant celle-ci (Arrêt du Tribunal fédéral C-1085/2009 du 25 janvier 2010 et les références citées, consid. 5.3). La commission a ainsi examiné les arguments du recourant avant de rejeter son recours. Il s'ensuit que l'autorité intimée n'a pas commis de déni de justice formel (Arrêt du Tribunal fédéral 6P.148/2006 du 24 novembre 2006, consid. 3).</w:t>
      </w:r>
    </w:p>
    <w:p>
      <w:r>
        <w:rPr>
          <w:b/>
        </w:rPr>
        <w:t>E. 3</w:t>
      </w:r>
    </w:p>
    <w:p>
      <w:r>
        <w:t>a. Aux termes de l'article 16 al. 1er LCR, le permis de conduire est retiré lorsque l'autorité constate que les conditions légales de leur délivrance ne sont pas ou plus remplies. En particulier, selon l'article 16d al. 1 let. b LCR, le permis de conduire est retiré pour une durée indéterminée à la personne qui souffre d’une forme de dépendance le rendant inapte à la conduite. Le permis de conduire peut être retiré préventivement lorsqu'il existe des doutes sérieux quant à l'aptitude à conduire du conducteur visé (art. 30 OAC).</w:t>
      </w:r>
    </w:p>
    <w:p>
      <w:r>
        <w:t>b. Le retrait de sécurité constitue une grave ingérence de la sphère privée du conducteur visé et constitue une atteinte grave à sa personnalité , il doit donc reposer sur une instruction précise des circonstances déterminantes (Arrêts du Tribunal fédéral 6A.23/2006 du 12 mai 2006 consid. 2.1 ; 1C_189/2008 du</w:t>
      </w:r>
    </w:p>
    <w:p>
      <w:r>
        <w:rPr>
          <w:b/>
        </w:rPr>
        <w:t>E. 8</w:t>
      </w:r>
    </w:p>
    <w:p>
      <w:r>
        <w:t>juillet 2008 ; ATA/659/2009 du 15 décembre 2009). Conformément à l'art. 14 al. 4 LCR, en cas de doute, l'autorité administrative est légitimée a requérir un examen médical, voire à prendre des mesures préventives (ATF 126 II p. 185 et ss = JT 2000 p. 416 ; ATA/87/2009 du 17 février 2009). En effet, l'aptitude à conduire doit être examinée dans le cadre d'une expertise spécifique confiée à un médecin-conseil ou à un institut spécialisé (art. 11b al. 1er let a OAC).</w:t>
      </w:r>
    </w:p>
    <w:p>
      <w:r>
        <w:t>Dès lors, selon la jurisprudence constante développée avant l'entrée en vigueur de la novelle du 14 décembre 2001 mais qui reste valable sous le nouveau droit, avant d'ordonner un tel retrait l'autorité doit éclaircir d'office la situation de</w:t>
      </w:r>
    </w:p>
    <w:p>
      <w:r>
        <w:t>- 6/7 - A/1627/2009 la personne concernée. En particulier, elle doit examiner l'incidence de la toxicomanie sur son comportement comme conducteur ainsi que le degré de la dépendance. Les mesures appropriées à cet effet, notamment l'opportunité d'une expertise médicale, varient en fonction des circonstances et relèvent du pouvoir d'appréciation des autorités cantonales appelées à se prononcer sur le retrait (ATF 129 II 82 consid. 2.2 ; Arrêt du Tribunal fédéral 6A.33/2001 du 30 mai 2001 consid. 3 a et les références citées).</w:t>
      </w:r>
    </w:p>
    <w:p>
      <w:r>
        <w:t>En l'espèce, aucune décision de retrait préventif n'a été rendue. L'OCAN a procédé par le biais d'une décision faisant obligation au recourant de se soumettre à une expertise médicale auprès du CURML, de sorte que la seule question à résoudre est celle du bien-fondé de ladite décision. 4.</w:t>
      </w:r>
    </w:p>
    <w:p>
      <w:r>
        <w:t>Le dossier du recourant ne contient pas d'élément permettant d'établir qu'il aurait, par le passé, conduit sous l'emprise de substances illicites. Néanmoins, au vu de la quantité importante de haschich retrouvée au domicile du recourant, destinée selon lui à son usage personnel, d'une part, compte tenu de ses propres déclarations sur sa consommation quotidienne de cette drogue, d'autre part, ainsi que de sa qualité de chauffeur professionnel de limousine, l'OCAN était fondé à concevoir des doutes sérieux sur son aptitude à la conduite (ATA7120/2007 du</w:t>
      </w:r>
    </w:p>
    <w:p>
      <w:r>
        <w:rPr>
          <w:b/>
        </w:rPr>
        <w:t>E. 13</w:t>
      </w:r>
    </w:p>
    <w:p>
      <w:r>
        <w:t>mars 2007 ; ATA 673/2005 du 11 octobre 2005). Il s'ensuit que l'autorité intimée a ordonné à juste titre l'expertise médicale contestée.</w:t>
      </w:r>
    </w:p>
    <w:p>
      <w:r>
        <w:t>En conséquence, le recours sera rejeté sans qu'il ne soit nécessaire d'attendre l'issue de la procédure pénale.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