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ATA/279/2001 vom 24. April 2001</w:t>
      </w:r>
    </w:p>
    <w:p>
      <w:r>
        <w:t>GE Cour de justice, 2001-04-24, FR</w:t>
      </w:r>
    </w:p>
    <w:p>
      <w:r>
        <w:rPr>
          <w:b/>
        </w:rPr>
        <w:t xml:space="preserve">Quelle: </w:t>
      </w:r>
      <w:r>
        <w:t>https://mcp.opencaselaw.ch/entscheid/ge_gerichte_ATA_279_2001</w:t>
      </w:r>
    </w:p>
    <w:p>
      <w:r>
        <w:t>FR: GE_GERICHTE ATA/279/2001 du 24 avril 2001</w:t>
      </w:r>
    </w:p>
    <w:p>
      <w:r>
        <w:t>IT: GE_GERICHTE ATA/279/2001 del 24 aprile 2001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À l'intérieur des localités, la vitesse maximale générale des véhicules peut atteindre 50 km/h, lorsque les conditions de la route, de la circulation et de visibilité sont favorables selon l'article 4a alinéa 1</w:t>
      </w:r>
    </w:p>
    <w:p>
      <w:r>
        <w:t>- 4 -</w:t>
      </w:r>
    </w:p>
    <w:p>
      <w:r>
        <w:t>lettre a de l'ordonnance sur les règles de la circulation routière du 13 novembre 1962 (OCR - RS 741.11; ATF 121 II 127, JdT 1995 I 664). Selon l'alinéa 5 de cette même disposition, les signaux peuvent indiquer d'autres vitesses maximales, celles-ci étant applicables en lieu et place des limitations générales de vitesse.</w:t>
      </w:r>
    </w:p>
    <w:p>
      <w:r>
        <w:t>Un dépassement de 21 à 24 km/h constitue un cas moyen impliquant en règle générale un retrait de permis au sens de l'article 16 alinéa 2 1ère phrase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124 II 97 consid. 2b et c pp. 100-102; ATA B. du 10 avril 2001).</w:t>
      </w:r>
    </w:p>
    <w:p>
      <w:r>
        <w:t>En revanche, un dépassement de 25 km/h et plus en- 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litt. a et art. 90 ch. 2 LCR; ATF 123 II 106, JdT 1997 I 725, consid. 2c, p. 731 et réf. cit.; ATF 123 II 37, consid. 1d, pp. 40-41, SJ 1997 pp. 527-528; ATA A. du 16 juin 1998).</w:t>
      </w:r>
    </w:p>
    <w:p>
      <w:r>
        <w:t>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SJ 1993 p. 535; ATF 118 IV 190; 108 Ib 67; 104 Ib 51).</w:t>
      </w:r>
    </w:p>
    <w:p>
      <w:r>
        <w:rPr>
          <w:b/>
        </w:rPr>
        <w:t>E. 3</w:t>
      </w:r>
    </w:p>
    <w:p>
      <w:r>
        <w:t>Le recourant conteste le caractère de localité de l'endroit où il a fait l'objet d'un contrôle de sa vitesse.</w:t>
      </w:r>
    </w:p>
    <w:p>
      <w:r>
        <w:t>a. La notion de localité est rarement abordée dans la jurisprudence publiée. Toutefois, le tribunal de céans a déjà eu l'occasion de trancher cette question en relation avec la route des Jeunes, empruntée par le recourant (ATA</w:t>
      </w:r>
    </w:p>
    <w:p>
      <w:r>
        <w:t>- 5 -</w:t>
      </w:r>
    </w:p>
    <w:p>
      <w:r>
        <w:t>G. du 7 septembre 1999). Il a retenu la solution suivante :</w:t>
      </w:r>
    </w:p>
    <w:p>
      <w:r>
        <w:t>b. Selon un arrêt du Tribunal fédéral du 19 février 1971, "on ne peut pas parler de véritable localité lorsqu'il s'agit d'un endroit où il n'y a, de part et d'autre de la route, que quelques maisons espacées" (ATF 97 I 183 consid. 4 p. 190). Dans une espèce cantonale, l'absence de numéro postal de bureau de poste et d'inscription dans l'annuaire officiel des localités fait que les habitations certes situées des deux côtés de la route n'ont pas le caractère de "localité" (OW CE, 9 avril 1991 in JdT 706). Dans une autre décision du même jour, il a été retenu que la notion de localité supposait celle d'une infrastructure (école, église, poste, possibilité de faire des achats ou encore numéro postal; eodem loco, p. 705). Le tribunal de céans a reconnu le caractère de localité de quelques bâtiments sis au n° 79 et 80 de la route de Compois, entre la Pallanterie et Jussy, de même qu'il a considéré ultérieurement que la route de Ferney, sur le territoire de la commune du Grand-Saconnex, en direction de la France, faisait encore partie d'une localité (ATA L. du 14 septembre 2000; S. du 23 mars 1999, P. du 15 décembre 1998 et T. du 26 mai 1998).</w:t>
      </w:r>
    </w:p>
    <w:p>
      <w:r>
        <w:t>c. Si l'on compare la zone où a été pratiqué le contrôle de vitesse litigieux avec celles susdécrites, il faut retenir les éléments suivants : la route des Jeunes se situe dans une zone bâtie, des deux côtés de l'artère, les entreprises qui s'y trouvent disposent d'une adresse et donc d'un numéro postal. La présence d'une église et d'une école n'étant pas pertinente dans une zone industrielle, il faut noter encore que cette zone n'est pas fréquentée par de nombreuses personnes âgées ou enfants, mais qu'elle comporte de nombreux carrefours à niveaux.</w:t>
      </w:r>
    </w:p>
    <w:p>
      <w:r>
        <w:rPr>
          <w:b/>
        </w:rPr>
        <w:t>E. 4</w:t>
      </w:r>
    </w:p>
    <w:p>
      <w:r>
        <w:t>Selon l'article 4a alinéa 2 de l'ordonnance sur les règles de la circulation routière du 13 novembre 1962 (OCR - RS 741.11), la limitation de la vitesse dans les localités commence au signal "vitesse maximale 50, limite générale" et se termine au signal "fin de la vitesse maximale 50, limite générale" (cf. ATA S. précité). Sur les routes secondaires peu importantes, la limitation est aussi valable en l'absence de signalisation, dès qu'il existe une zone bâtie de façon compacte.</w:t>
      </w:r>
    </w:p>
    <w:p>
      <w:r>
        <w:t>Avec raison, le recourant ne prétend pas ne pas avoir vu l'écriteau signalant la fin de la vitesse</w:t>
      </w:r>
    </w:p>
    <w:p>
      <w:r>
        <w:t>- 6 -</w:t>
      </w:r>
    </w:p>
    <w:p>
      <w:r>
        <w:t>maximale valable dans les localités. Il admet qu'un signal rétablissant la limitation générale à 50 km/h est posé le long de la route des Jeunes. Vu le caractère de localité au sens légal du terme de la zone et la limite de vitesse, il convient d'examiner la durée de la mesure de retrait infligée au recourant au regard de ses antécédents et des circonstances de l'espèce.</w:t>
      </w:r>
    </w:p>
    <w:p>
      <w:r>
        <w:rPr>
          <w:b/>
        </w:rPr>
        <w:t>E. 5</w:t>
      </w:r>
    </w:p>
    <w:p>
      <w:r>
        <w:t>Le recourant fait état de ses besoins professionnels, au motif qu'il est le chef d'une équipe de maçons.</w:t>
      </w:r>
    </w:p>
    <w:p>
      <w:r>
        <w:t>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 c p. 575-576; ATA L. du 21 avril 1998, P. du 5 novembre 1996, confirmé par ATF du 28 février 1997 = SJ 1997 451).</w:t>
      </w:r>
    </w:p>
    <w:p>
      <w:r>
        <w:t>a.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RDAF 1981 p. 50; RDAF 1978 p. 288 et 1977 p. 210 et 354-355; Katherin Gruber, La notion d'utilité professionnelle en matière de retrait du permis de conduire, RDAF 1998 I 233-251).</w:t>
      </w:r>
    </w:p>
    <w:p>
      <w:r>
        <w:t>b. Dans sa jurisprudence récente, le tribunal de céans a déjà estimé qu'un employé de régie, un courtier en immobilier ou en assurances, ou encore des personnes exerçant des professions comparables pouvaient sans autre recourir aux transports publics pour l'accomplissement de leurs tâches professionnelles (cf. not. ATA I. du 24 avril 2001; ATA B. du 10 décembre 1996; P. précité confirmé par ATF précité). il a encore jugé qu'une personne qui exerçait les activités de représentant en matériel de chauffage, de courtier en matière de publicité et de gérant d'un bar ne pouvait se prévaloir de besoins professionnels prépondérants (ATA P. du 14 septembre 2000).</w:t>
      </w:r>
    </w:p>
    <w:p>
      <w:r>
        <w:t>- 7 -</w:t>
      </w:r>
    </w:p>
    <w:p>
      <w:r>
        <w:t>Un ingénieur informaticien, dont les clients se trouvaient soit dans le Jura, soit en zone urbaine ou périurbaine, ne pouvait se prévaloir de besoins professionnels déterminants, même s'il devait pendant la durée de la mesure de retrait diminuer le nombre de ses visites à la clientèle et par là le montant des commissions qu'il touchait (ATA U. du 27 mars 2001).</w:t>
      </w:r>
    </w:p>
    <w:p>
      <w:r>
        <w:t>c. Par contre, un réparateur dans le domaine des élévateurs électriques ou un boulanger dans une petite entreprise familiale peuvent se prévaloir de besoins professionnels importants (ATA C. du 23 octobre 1997, A. du 23 octobre 1997, B. du 22 avril 1997 et M. du 7 novembre 1995). S'agissant d'un réparateur de brûleurs à mazout, qui devait transporter du matériel, le Tribunal a estimé que si les besoins professionnels n'étaient pas déterminants au sens strict, ils étaient néanmoins importants (ATA A. du 23 octobre 1997). Dans l'affaire L. précitée concernant un mécanicien-électricien dépannant des ascenseurs, il n'a pas tranché expressément la question des besoins professionnels, car le complexe de faits ainsi que la pluralité des infractions commises justifiaient la sanction infligée, compte tenu également du large pouvoir d'appréciation reconnu à l'autorité intimée.</w:t>
      </w:r>
    </w:p>
    <w:p>
      <w:r>
        <w:t>Le Tribunal a encore considéré qu'un plâtrier ou un peintre en bâtiment, même s'ils devaient se déplacer au cours de la journée d'un chantier à un autre, voire y véhiculer ses collègues ou aller chercher du matériel occasionnellement, ne pouvaient se prévaloir de besoins professionnels déterminants au sens de la jurisprudence (ATA G. précité et C. du 23 octobre 1997). Il n'a pas non plus admis qu'un aide-monteur électricien effectuant de petits travaux chez des particuliers puisse se prévaloir de besoins professionnels déterminants (ATA G. du</w:t>
      </w:r>
    </w:p>
    <w:p>
      <w:r>
        <w:rPr>
          <w:b/>
        </w:rPr>
        <w:t>E. 9</w:t>
      </w:r>
    </w:p>
    <w:p>
      <w:r>
        <w:t>janvier 2001).</w:t>
      </w:r>
    </w:p>
    <w:p>
      <w:r>
        <w:t>Le recourant ne peut donc se prévaloir de besoins professionnels déterminants au sens de la jurisprudence. Sa situation personnelle est sans particularité, même si ses revenus sont modestes. Compte tenu d'un précédent excès de vitesse en localité, qui avait été sanctionné d'un avertissement au mois de février 1997, de l'importance de celui commis le 7 octobre 2000, alors que le recourant avait déjà fait état de ses besoins professionnels dans la précédente procédure et qu'il était dès lors conscient des inconvénients que pourrait lui causer un retrait du permis de conduire, il n'y a</w:t>
      </w:r>
    </w:p>
    <w:p>
      <w:r>
        <w:t>- 8 -</w:t>
      </w:r>
    </w:p>
    <w:p>
      <w:r>
        <w:t>aucun motif de revoir la décision prise par l'autorité intimée, même si celle-ci s'est écartée du minimum légal d'un mois. Le recours est donc rejeté.</w:t>
      </w:r>
    </w:p>
    <w:p>
      <w:r>
        <w:t>6. Le recourant, qui succombe, sera condamné aux frais de la procédure et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