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ATA/277/2021 vom 2. März 2021</w:t>
      </w:r>
    </w:p>
    <w:p>
      <w:r>
        <w:t>GE Cour de justice, 2021-03-02, FR</w:t>
      </w:r>
    </w:p>
    <w:p>
      <w:r>
        <w:rPr>
          <w:b/>
        </w:rPr>
        <w:t xml:space="preserve">Quelle: </w:t>
      </w:r>
      <w:r>
        <w:t>https://mcp.opencaselaw.ch/entscheid/ge_gerichte_ATA_277_2021</w:t>
      </w:r>
    </w:p>
    <w:p>
      <w:r>
        <w:t>FR: GE_GERICHTE ATA/277/2021 du 2 mars 2021</w:t>
      </w:r>
    </w:p>
    <w:p>
      <w:r>
        <w:t>IT: GE_GERICHTE ATA/277/2021 del 2 marzo 2021</w:t>
      </w:r>
    </w:p>
    <w:p>
      <w:pPr>
        <w:pStyle w:val="Heading2"/>
      </w:pPr>
      <w:r>
        <w:t>Regeste</w:t>
      </w:r>
    </w:p>
    <w:p>
      <w:r>
        <w:t>Résumé: Confirmation du refus de délivrance d'une autorisation de séjour pour cas individuel d'extrême gravité au recourant, ressortissant d’Albanie, arrivé en Suisse pour la première fois en 2003 dans le cadre d’un séjour pour études (de droit), mais ayant quitté à plusieurs reprises la Suisse, pour suivre des études ou travailler à l’étranger. Examen effectuée par l’OCPM également sous l’angle de l’affaire Papyrus.</w:t>
      </w:r>
    </w:p>
    <w:p>
      <w:pPr>
        <w:pStyle w:val="Heading2"/>
      </w:pPr>
      <w:r>
        <w:t>Erwägungen</w:t>
      </w:r>
    </w:p>
    <w:p>
      <w:r>
        <w:rPr>
          <w:b/>
        </w:rPr>
        <w:t>E. 13</w:t>
      </w:r>
    </w:p>
    <w:p>
      <w:r>
        <w:t>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ATA/90/2021 du 26 janvier 2021 consid. 3e).</w:t>
      </w:r>
    </w:p>
    <w:p>
      <w:r>
        <w:t>La question est donc de savoir si, en cas de retour dans le pays d'origine, les conditions de sa réintégration sociale, au regard de la situation personnelle, professionnelle et familiale de l'intéressé, seraient gravement compromises (ATA/90/2021 précité consid. 3e ; ATA/1162/2020 du 17 novembre 2020 consid. 6b ; arrêts du Tribunal fédéral 2C_621/2015 du 11 décembre 2015 consid. 5.2.1 ; 2C_369/2010 du 4 novembre 2010 consid. 4.1).</w:t>
      </w:r>
    </w:p>
    <w:p>
      <w:r>
        <w:t>Le Tribunal fédéral a déjà relevé que la réintégration dans le pays d'origine n'est pas déjà fortement compromise parce que l'étranger n'y retrouvera pas de travail dans le domaine d'activité qui était le sien en Suisse (arrêts du Tribunal fédéral 2C_621/2015 précité consid. 5.2.2 ; 2C_956/2013 du 11 avril 2014 consid. 3.3). 8)</w:t>
      </w:r>
    </w:p>
    <w:p>
      <w:r>
        <w:t>En l’occurrence, la chambre administrative considère que l’examen effectué par le TAPI au consid. 16 du jugement querellé ne prête pas le flanc à la critique, de sorte qu’il y sera renvoyé, avec les précisions qui suivent.</w:t>
      </w:r>
    </w:p>
    <w:p>
      <w:r>
        <w:t>Comme relevé à juste titre par le TAPI, le recourant a séjourné légalement en Suisse entre juillet 2003 et juillet 2004, puis entre octobre 2004 et septembre 2007 et enfin entre octobre 2009 et septembre 2012, au bénéfice d’autorisations de séjour pour études. Il ressort par ailleurs du dossier que si le recourant était effectivement présent en Suisse entre janvier 2013 et l’automne 2015, de manière illégale, il est établi qu’il n’y a pas vécu de manière continue, comme en attestent les tampons figurant dans son passeport et le fait qu’il ait travaillé pour des entreprises sises respectivement en Albanie et au Kosovo. Le recourant admet par ailleurs avoir quitté la Suisse en automne 2015 et y être revenu quelques mois plus tard. S’il ressort des attestations de témoins fournies que le recourant était également présent en Suisse durant l’année 2016, les pièces au dossier ne permettent d’établir avec précision la durée et la continuité dudit séjour. Il semble enfin qu’il réside à Genève depuis son engagement en qualité de juriste à compter du 1er janvier 2017, d’abord de manière illégale puis en faveur d’une simple tolérance dans le cadre de la présente procédure. Ainsi, s’il est exact que le recourant est arrivé pour la première fois en Suisse il y a plus de dix-sept ans, ses séjours ont été régulièrement interrompus, et ce pendant parfois plusieurs mois – comme lors de son séjour à New-York ‒ de sorte que la durée de séjour doit être fortement relativisée.</w:t>
      </w:r>
    </w:p>
    <w:p>
      <w:r>
        <w:t>- 16/19 - A/2393/2019</w:t>
      </w:r>
    </w:p>
    <w:p>
      <w:r>
        <w:t>S’agissant de sa situation familiale, si sa sœur et ses deux neveux, auxquels il semble très attaché, résident effectivement à Genève, les parents du recourant vivent en Albanie. L’intéressé ne saurait prétendre ne pas avoir gardé de liens avec eux, dès lors qu’il a lui-même indiqué être retourné, entre 2009 et 2014, voir sa famille en Albanie durant les vacances d’été et/ou d’hiver, à tout le moins chaque année. Il ressort également du dossier que le recourant a formé des demandes de visa en septembre 2017 et 2018 au motif d’aller rendre visite à ses parents.</w:t>
      </w:r>
    </w:p>
    <w:p>
      <w:r>
        <w:t>Si le parcours professionnel du recourant est très bon, comme le reconnaissent unanimement l’OCPM et le TAPI, tout comme la chambre de céans, et qu’il est vrai que le recourant a acquis certaines connaissances spécifiques en droit suisse, il ne peut être retenu que toutes ses connaissances professionnelles soient si spécifiques qu'il ne pourrait les mettre en œuvre dans son pays d'origine ou que sa réintégration y serait fortement compromise. D’une part, le recourant a déjà travaillé dans son pays d’origine depuis l’obtention de ses différents diplômes, ainsi qu’au Kosovo. Par ailleurs, bien qu’ayant étudié le droit suisse, le recourant a résolument orienté sa formation sur un volet international, comme en attestent notamment le certificat de droit transnational obtenu, ses études durant deux semestres aux Pays-Bas et son séjour de plusieurs mois à New York réalisé dans le but, selon ses propres termes, de renforcer ses connaissances linguistiques dans les domaines du droit et des affaires. Enfin, il ressort de la demande d’autorisation de séjour avec prise d’emploi formée le 15 juillet 2015, jointe à son acte de recours, que ses aptitudes étaient en parfaite adéquation avec les besoins de l’étude de Me C______, s’agissant notamment de la maîtrise de la législation fiscale et bancaire de l’Albanie et du Kosovo, et de la connaissance des « mœurs locales et albanaises ». Ainsi, sans dénier les efforts que cela impliquerait pour l'intéressé, il n'en demeurait pas moins que compte tenu de son âge, de ses connaissances linguistiques et de ses compétences professionnelles ‒ acquises tant en Suisse qu’à l’étranger ‒ il apparaît qu’il pourra se réadapter dans son pays d'origine.</w:t>
      </w:r>
    </w:p>
    <w:p>
      <w:r>
        <w:t>Il ressort par ailleurs des certificats médicaux produits que le recourant souffre d'un « mal-être » lié à la non-reconnaissance de son droit de finir ses études en Suisse et du fait de ne pas avoir un document suisse l’y autorisant, et que le traitement de ses troubles était en cours. Or, au sens de la jurisprudence précitée, ses difficultés psychiques ne peuvent être qualifiées de graves problèmes de santé nécessitant, pendant une longue période, des soins permanents ou des mesures médicales d'urgence indisponibles dans le pays d'origine.</w:t>
      </w:r>
    </w:p>
    <w:p>
      <w:r>
        <w:t>Pour le surplus, la jurisprudence à laquelle se réfère le recourant dans son écriture du 7 août 2020 n’est pas applicable au cas d’espèce, dès lors qu’elle concerne exclusivement les étrangers ayant séjourné légalement durant dix ans en</w:t>
      </w:r>
    </w:p>
    <w:p>
      <w:r>
        <w:t>- 17/19 - A/2393/2019 Suisse, et dont l’autorisation de séjour n’aurait pas été renouvelée ou aurait été révoquée, ce qui n’est pas son cas.</w:t>
      </w:r>
    </w:p>
    <w:p>
      <w:r>
        <w:t>On peine par ailleurs à comprendre le grief d’inégalité de traitement dont le recourant entend se prévaloir ‒ qu’il estime fondé sur son origine et sur la profession ‒ d’autant plus qu’il ne démontre pas que d’autres personnes soumises au même régime et dans la même situation personnelle que lui auraient été traitées différemment.</w:t>
      </w:r>
    </w:p>
    <w:p>
      <w:r>
        <w:t>Au vu de l'ensemble de ces éléments, l'OCPM en niant l'existence des conditions justifiant l'octroi au recourant d'une autorisation de séjour pour cas d'extrême gravité n'a ni violé la loi ni abusé ou excédé de son pouvoir d'appréciation, ce qu’a à juste titre confirmé le TAPI. 9)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w:t>
      </w:r>
    </w:p>
    <w:p>
      <w:r>
        <w:t>b. En l'espèce, rien ne permet de retenir que l'exécution du renvoi du recourant ne serait pas possible, licite ou raisonnement exigible au sens de la disposition précitée ‒ ce que ce dernier ne prétend d’ailleurs pas ‒, les considérations qui précèdent au sujet de l'état de santé du recourant ne permettant pas non plus de retenir une violation de l'art. 83 al. 4 LEI.</w:t>
      </w:r>
    </w:p>
    <w:p>
      <w:r>
        <w:t>Dans ces circonstances, le jugement attaqué est conforme au droit.</w:t>
      </w:r>
    </w:p>
    <w:p>
      <w:r>
        <w:t>Mal fondé, le recours sera ainsi rejeté. 10) Vu l'issue du litige, un émolument de CHF 550.- sera mis à la charge du recourant, qui succombe (art. 87 al. 1 LPA), et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