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ATA/276/2022 vom 15. März 2022</w:t>
      </w:r>
    </w:p>
    <w:p>
      <w:r>
        <w:t>GE Cour de justice, 2022-03-15, FR</w:t>
      </w:r>
    </w:p>
    <w:p>
      <w:r>
        <w:rPr>
          <w:b/>
        </w:rPr>
        <w:t xml:space="preserve">Quelle: </w:t>
      </w:r>
      <w:r>
        <w:t>https://mcp.opencaselaw.ch/entscheid/ge_gerichte_ATA_276_2022</w:t>
      </w:r>
    </w:p>
    <w:p>
      <w:r>
        <w:t>FR: GE_GERICHTE ATA/276/2022 du 15 mars 2022</w:t>
      </w:r>
    </w:p>
    <w:p>
      <w:r>
        <w:t>IT: GE_GERICHTE ATA/276/2022 del 15 marzo 2022</w:t>
      </w:r>
    </w:p>
    <w:p>
      <w:pPr>
        <w:pStyle w:val="Heading2"/>
      </w:pPr>
      <w:r>
        <w:t>Erwägungen</w:t>
      </w:r>
    </w:p>
    <w:p>
      <w:r>
        <w:rPr>
          <w:b/>
        </w:rPr>
        <w:t>E. 26</w:t>
      </w:r>
    </w:p>
    <w:p>
      <w:r>
        <w:t>septembre 2010 - LOJ - E 2 05 ; art. 62 al. 1 let. a de la loi sur la procédure</w:t>
      </w:r>
    </w:p>
    <w:p>
      <w:r>
        <w:t>- 7/12 - A/2712/2021 administrative du 12 septembre 1985 - LPA - E 5 10 ; art. 43 al. 2 de la loi sur l’université du 13 juin 2008 - LU - C 1 30 ; art. 36 al. 1 du règlement relatif à la procédure d’opposition au sein de l’université du 16 mars 2009 - RIO-UNIGE, révisé le 25 mars 2015). 2)</w:t>
      </w:r>
    </w:p>
    <w:p>
      <w:r>
        <w:t>Selon l’art. 16 al. 1 let. b du RE, lequel est applicable au recourant, l’étudiant qui n’a pas obtenu les crédits correspondants à chacun des blocs au terme de la seconde et dernière tentative conformément à l’art.15 RE subit un échec définitif et est éliminé de la faculté.</w:t>
      </w:r>
    </w:p>
    <w:p>
      <w:r>
        <w:t>À teneur de l’art. 15 al. 3 let. a RE, la validation de la première partie est soumise notamment à la règle selon laquelle l’étudiant acquiert les crédits d’un bloc s’il obtient une moyenne pondérée par le nombre de crédits attachés à chaque enseignement du bloc égale ou supérieure à 4,00 ; les crédits sont alors octroyés « en bloc ». La première partie est réussie si l'étudiant acquiert les crédits de chacun des blocs (art. 15 al. 3 let. d RE). En cas d'échec à un ou plusieurs blocs, l'étudiant bénéficie d'une seconde et dernière tentative pour les blocs échoués (sic) l'année suivante à la session d'examens ordinaire qui suit immédiatement la fin de 'examen concerné ; il doit refaire tous les examens du bloc auxquels il a obtenu une note inférieure à 5,00 ; l'inscription à ces examens est automatique ; un deuxième échec est éliminatoire ; les notes de chaque bloc réussi sont conservées (art. 15 al. 3 let. e RE). 3) a. À teneur de l'art. 31 al. 2 RIO-UNIGE, l'autorité qui a pris la décision litigieuse et qui statue sur l'opposition n'examine que sous l'angle de l'arbitraire les griefs soulevés par l'opposant. Est arbitraire une note ou une évaluation qui violerait une règle claire ou qui ne se baserait pas sur des critères objectifs ou valables pour tous les étudiants, qui serait insoutenable ou qui choquerait le sens de l'équité.</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(ATA/1397/2021 du 21 décembre 2021 consid. 9 ; ATA/882/2021 du</w:t>
      </w:r>
    </w:p>
    <w:p>
      <w:r>
        <w:rPr>
          <w:b/>
        </w:rPr>
        <w:t>E. 31</w:t>
      </w:r>
    </w:p>
    <w:p>
      <w:r>
        <w:t>août 2021).</w:t>
      </w:r>
    </w:p>
    <w:p>
      <w:r>
        <w:t>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w:t>
      </w:r>
    </w:p>
    <w:p>
      <w:r>
        <w:t>- 8/12 - A/2712/2021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 ; ATA/882/2021 précité).</w:t>
      </w:r>
    </w:p>
    <w:p>
      <w:r>
        <w:t>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(ATA/882/2021 précité ; ATA/408/2016 du 13 mai 2016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131 I 467 consid. 3.1 ; ATA/882/2021 précité ; ATA/408/2016 précité ; ATA/141/2015 précité ; ATA/131/2013 du 5 mars 2013). 4)</w:t>
      </w:r>
    </w:p>
    <w:p>
      <w:r>
        <w:t>Le recourant ne conteste pas que, selon le règlement applicable, les notes obtenues conduisent à un échec définitif, qui entraîne son élimination de la faculté. Il conteste en revanche sa note aux examens « Swiss Law of Obligations » et « Financial Markets ».</w:t>
      </w:r>
    </w:p>
    <w:p>
      <w:r>
        <w:t>À titre liminaire, il sied de relever que le recourant est forclos à se plaindre des résultats d'examens antérieurs à la session d'examens de mai-juin 2021, au sujet desquels il n'a pas fait opposition dans les délais, quelle qu'en soit la raison.</w:t>
      </w:r>
    </w:p>
    <w:p>
      <w:r>
        <w:t>S'agissant de l'examen « Financial Markets », le recourant se plaint uniquement de la difficulté de l'examen, dont il ne donne par ailleurs aucune</w:t>
      </w:r>
    </w:p>
    <w:p>
      <w:r>
        <w:t>- 9/12 - A/2712/2021 preuve. Il ne formule aucun grief concret susceptible de remettre en cause le résultat de l'examen, qui ne peut dans ces conditions qu'être confirmé.</w:t>
      </w:r>
    </w:p>
    <w:p>
      <w:r>
        <w:t>S'agissant de l'examen « Swiss Law of Obligations », l'autorité intimée a pris en compte les propositions de l'enseignante de comptabiliser comme correctes les deux réponses mises en lumière par le recourant, ce qui ramenait le total de points à 24 mais, à teneur du barème de l'examen, ne changeait pas la note finale, qui restait à 3,5. Le seul grief du recourant à n'avoir pas été pris en compte concerne les autres occurrences de l'oubli de la loi citée. À cet égard, l'enseignante a indiqué ne pas pouvoir entrer en matière sur les occurrences en lien avec le cas pratique pour des raisons d'égalité de traitement. Le recourant quant à lui ne précise pas quelles seraient les questions concernées, arguant de ce qu'il n'avait « pas réussi à noter tous les numéros des questions qu['il avait] notifiées [sic] qui n'avaient pas été comptabilisées correctement » pour ce motif, et ne démontre à plus forte raison pas que de telles corrections lui permettraient de passer de la note de 3,5 à celle de 4,75 nécessaire pour obtenir la moyenne à l'ensemble du bloc « Finances, comptabilité et droit ».</w:t>
      </w:r>
    </w:p>
    <w:p>
      <w:r>
        <w:t>L'on ne saurait dans ces conditions retenir que le résultat de l'examen devrait être revu, si bien que le grief lié à la notation des examens sera écarté. 5)</w:t>
      </w:r>
    </w:p>
    <w:p>
      <w:r>
        <w:t>Le recourant se prévaut de circonstances exceptionnelles.</w:t>
      </w:r>
    </w:p>
    <w:p>
      <w:r>
        <w:t>a. À teneur de l'art. 58 al. 3 du statut de l'université du 22 juin 2011 (ci-après :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du statut).</w:t>
      </w:r>
    </w:p>
    <w:p>
      <w:r>
        <w:t>Le doyen ou la doyenne tient compte des situations exceptionnelles lors de la prise d'une décision d'élimination (art. 58 al. 4 du statut).</w:t>
      </w:r>
    </w:p>
    <w:p>
      <w:r>
        <w:t>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w:t>
      </w:r>
    </w:p>
    <w:p>
      <w:r>
        <w:t>- 10/12 - A/2712/2021 ATA/1121/2020 du 10 novembre 2020 consid. 4.d ; ATA/716/2020 du 4 août 2020 et les références citées).</w:t>
      </w:r>
    </w:p>
    <w:p>
      <w:r>
        <w:t>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(ATA/459/2020 du 7 mai 2020 consid. 5b ; ATA/250/2020 du 3 mars 2020 consid. 4b et les références citées).</w:t>
      </w:r>
    </w:p>
    <w:p>
      <w:r>
        <w:t>c. Un motif d'empêchement ne peut, en principe, être invoqué par le candidat qu'avant ou pendant l'examen (arrêt du Tribunal administratif fédéral [ci-après : TAF] B-6593/2013 du 7 août 2014 consid. 4.2 ; ATA/281/2021 du 2 mars 2021).</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(ATA/459/2020 précité ; ATA/345/2020 du 7 avril 2020 consid. 7b).</w:t>
      </w:r>
    </w:p>
    <w:p>
      <w:r>
        <w:t>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précité ; ATA/1397/2021 précité consid. 7c et les références citées). 6)</w:t>
      </w:r>
    </w:p>
    <w:p>
      <w:r>
        <w:t>En l'espèce, le recourant se prévaut de son état de santé, disant souffrir depuis 2015 d'un reflux gastro-œsophagien qui l'aurait isolé, son dossier médical étant « bloqué » et ne lui permettant pas d'être opéré. Il fournit deux certificats médicaux datant de 2016 ainsi qu'un échange de courriels avec le directeur du « Pôle santé », qui l'avait renvoyé à agir auprès de la faculté.</w:t>
      </w:r>
    </w:p>
    <w:p>
      <w:r>
        <w:t>- 11/12 - A/2712/2021</w:t>
      </w:r>
    </w:p>
    <w:p>
      <w:r>
        <w:t>Ces circonstances ne peuvent être tenues pour exceptionnelles au sens de la jurisprudence précitée, le recourant ayant quoi qu'il en soit invoqué sa condition médicale bien après avoir pris connaissance du résultat de ses examens, et n'établissant par ailleurs aucun caractère causal entre sa pathologie et l'échec aux examens concernés, étant rappelé qu'il a commencé son cursus après 2015 et n'en a pas moins réussi un certain nombre d'examens.</w:t>
      </w:r>
    </w:p>
    <w:p>
      <w:r>
        <w:t>Quant à la difficulté particulière de l'examen de « Financial Markets », à supposer qu'il puisse s'agir d'une circonstance exceptionnelle au sens de l'art. 58 al. 4 du statut– notamment dans la mesure où elle affecterait indistinctement tous les étudiants ayant pris part à l'examen –, rien dans le dossier n'est susceptible d'étayer le sentiment subjectif du recourant à cet égard.</w:t>
      </w:r>
    </w:p>
    <w:p>
      <w:r>
        <w:t>Compte tenu de ce qui précède, le recours sera rejeté. 7)</w:t>
      </w:r>
    </w:p>
    <w:p>
      <w:r>
        <w:t>Vu l’issue du litige, un émolument de CHF 400.- sera mis à la charge du recourant, qui succombe (art. 87 al. 1 LPA) et n’indique pas être exonéré des taxes universitaires (art. 11 du règlement sur les frais, émoluments et indemnités en procédure administrative du 30 juillet 1986 - RFPA - E 5 10.03),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