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ATA/275/2026 vom 13. März 2026</w:t>
      </w:r>
    </w:p>
    <w:p>
      <w:r>
        <w:t>GE Cour de justice, 2026-03-13, FR</w:t>
      </w:r>
    </w:p>
    <w:p>
      <w:r>
        <w:rPr>
          <w:b/>
        </w:rPr>
        <w:t xml:space="preserve">Quelle: </w:t>
      </w:r>
      <w:r>
        <w:t>https://mcp.opencaselaw.ch/entscheid/ge_gerichte_ATA_275_2026</w:t>
      </w:r>
    </w:p>
    <w:p>
      <w:r>
        <w:t>FR: GE_GERICHTE ATA/275/2026 du 13 mars 2026</w:t>
      </w:r>
    </w:p>
    <w:p>
      <w:r>
        <w:t>IT: GE_GERICHTE ATA/275/2026 del 13 marzo 2026</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49 REPSD).</w:t>
      </w:r>
    </w:p>
    <w:p>
      <w:r>
        <w:rPr>
          <w:b/>
        </w:rPr>
        <w:t>E. 2</w:t>
      </w:r>
    </w:p>
    <w:p>
      <w:r>
        <w:t>Bien que la sanction ait été exécutée, le recourant conserve un intérêt actuel à l'examen de la légalité de celles-ci, dès lors qu'il pourrait être tenu compte des sanctions contestées en cas de nouveau problème disciplinaire ou de demande de libération conditionnelle (ATF 139 I 206 consid. 1.1 ; ATA/498/2022 du 11 mai 2022 consid. 2 ; ATA/50/2022 du 18 janvier 2022 consid. 2). Le recours est donc recevable.</w:t>
      </w:r>
    </w:p>
    <w:p>
      <w:r>
        <w:rPr>
          <w:b/>
        </w:rPr>
        <w:t>E. 3</w:t>
      </w:r>
    </w:p>
    <w:p>
      <w:r>
        <w:t>Le recourant sollicite son audition, ainsi que celle de l’appointé témoin de son agression, du détenu « C______ » et du sous-chef. Il demande également la production d’un certain nombre de documents.</w:t>
      </w:r>
    </w:p>
    <w:p>
      <w:r>
        <w:rPr>
          <w:b/>
        </w:rPr>
        <w:t>E. 3.1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w:t>
      </w:r>
    </w:p>
    <w:p>
      <w:r>
        <w:t>- 5/10 - A/4137/2025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La procédure administrative est en principe écrite, toutefois si le règlement et la nature de l’affaire le requièrent, l’autorité peut procéder oralement (art. 18 LPA). Le droit d’être entendu n'implique pas le droit à l’audition orale de la personne concernée, ni à celle de témoins (ATF 140 I 285 consid. 6.3.1).</w:t>
      </w:r>
    </w:p>
    <w:p>
      <w:r>
        <w:rPr>
          <w:b/>
        </w:rPr>
        <w:t>E. 3.2</w:t>
      </w:r>
    </w:p>
    <w:p>
      <w:r>
        <w:t>De jurisprudence constante, la chambre de céans accorde généralement valeur probante aux constatations figurant dans un rapport de police, établi par des agents assermentés sauf si des éléments permettent de s’en écarter (ATA/719/2021 du</w:t>
      </w:r>
    </w:p>
    <w:p>
      <w:r>
        <w:rPr>
          <w:b/>
        </w:rPr>
        <w:t>E. 3.3</w:t>
      </w:r>
    </w:p>
    <w:p>
      <w:r>
        <w:t>En l’espèce, le recourant a eu l'occasion à quatre reprises, une fois devant l'autorité et trois fois devant la chambre administrative, de s'exprimer sur les éléments du dossier et de produire les pièces qu'il estimait utiles à la solution du litige. Il n’expose pas quels éléments pertinents pour trancher le sort de la cause, qu’il n’aurait pu produire par écrit, son audition serait susceptible d’apporter. Le témoignage du sous-chef n’apparaît pas non plus nécessaire, puisque celui-ci n’était pas présent lors de l’altercation, ce qui n’est pas contesté. Quant à l’audition de son codétenu, qui a participé à la bagarre, elle n’apparaît pas non plus utile, l’ensemble des faits pertinents pour la solution du litige figurant dans les images de vidéosurveillance. L’intimé a produit les trois directives de l’établissement, la feuille annexée au rapport d’incident, intitulée « Déclaration », se rapportant à son codétenu ainsi que les images de vidéosurveillance, si bien que les conclusions en production de ces documents sont devenues sans objet. Il en va de même de la conclusion visant à obtenir une version non-caviardée de la sanction du 23 octobre 2025, celle-ci ayant été dûment transmise à son conseil et produite dans le cadre de son recours. Quant à la demande portant sur la production du rapport d’incident, dans une version non-caviardée, celle-ci n’apparait pas non plus nécessaire pour établir les faits. L’identité de l’ensemble des agents et codétenus impliqués dans l’altercation ressort en effet sans ambiguïté des images de vidéosurveillance, ce qui n’est pas contesté.</w:t>
      </w:r>
    </w:p>
    <w:p>
      <w:r>
        <w:t>- 6/10 - A/4137/2025 Le recourant n'explique d’ailleurs pas en quoi les informations demandées seraient nécessaires à la résolution du litige. Il ne sera ainsi pas fait suite à cette demande. 4. Le recourant conclut à la nullité de la sanction, celle-ci ayant été prononcée par une autorité incompétente. 4.1 À teneur de l’art. 46 al. 3 let. d REPSD, le directeur de l'établissement et son suppléant en son absence sont compétents pour prononcer les arrêts pour dix jours au plus. Selon l’al. 7, le directeur de l’établissement peut déléguer la compétence de prononcer les sanctions prévues à l'al. 3 à d'autres membres du personnel gradé de l’établissement. Les modalités de la délégation sont prévues dans un ordre de service. Le placement d'une personne détenue en cellule forte pour une durée supérieure à cinq jours est impérativement prononcé par le directeur de l’établissement ou, en son absence, par son suppléant ou un membre du conseil de direction chargé de la permanence. 4.2 Selon la directive n° 02.06 du 3 novembre 2021, intitulée « sécurité – mesures disicplinaires », le directeur peut déléguer la compétence de prononcer les sanctions prévues à l’art. 46 al. 7 REPSD à d’autres membres du personnel gradé de l’établissement, soit le gardien chef, les gardiens chefs adjoints et les sous-chefs. Toute sanction proposée par un sous-chef concernant un arrêt sera présentée pour validation à l’une des personnes qui partiicpe au piquet de direction, présente sur site. Lorsqu’aucun membre du piquet de direction n’est sur site, le sous-chef appelle la personne de piquet de direction pour obtenir une validation. Lorsqu’aucun membre du piquet de direction n’est sur site et que la cellule forte est estimée à plus de cinq jours, le membre de piquet se déplace sur site, évalue, sanctionne et notifie. Selon la directive n° 05.14 du 24 juillet 2023, intitulée « personnes détenues – régime applicable aux arrêts disciplinaires et suppression des activités communes et des loisirs », le placement est prononcé sur décision du directeur et son adjoint jusqu’à dix jours et par délégation, par les sous-chefs jusqu’à cinq jours avec le préavis d’un membre du conseil de direction ou du piquet de direction. Selon la directive n° 03.01 du 14 mars 2023, intitulée « organisation – piquet de direction », les personnes suivantes sont astreintes au service de piquet : directeur, directeur adjoint, gardien chef et gardiens chefs adjoints. 4.3 En l’occurrence, la « notification de sanction » du 23 octobre 2025 a été signée par le sous-chef et signifiée au recourant le jour même à 14h25. Contrairement à ce que soutient ce dernier, la décision de le sanctionner à trois jours de cellule forte pour bagarre a été préavisée, avant sa notification, par le le gardien-chef adjoint, soit un membre du piquet de direction habilité à préaviser le placement jusqu’à dix jours selon les directives précitées, comme cela ressort du rapport d’incident du 23 octobre 2025, établi à 13h40. Un tel procédé est donc conforme à l’art. 46 al. 7 REPSD et aux directives internes de la Brenaz. Le grief tiré de la nullité de la décision entreprise sera partant rejeté. 5. Le recourant conteste la sanction, faisant valoir qu’il s’était limité à se défendre.</w:t>
      </w:r>
    </w:p>
    <w:p>
      <w:r>
        <w:t>- 7/10 - A/4137/2025 5.1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(ATA/555/2025 du 20 mai 2025 consid. 2.1). 5.2 Le statut des personnes incarcérées à La Brenaz est régi par le REPSD, dont les dispositions doivent être respectées par les détenus (art. 42 REPSD). En toute circonstance, ceux-ci doivent observer une attitude correcte à l’égard du personnel, des autres détenus et des tiers (art. 43 REPSD). Selon l’art. 43 REPSD, la personne détenue doit observer une attitude correcte à l'égard du personnel, des autres personnes détenues et des tiers. Selon l’art. 44 REPSD, il est interdit notamment d'exercer une violence physique ou verbale à l'égard du personnel, des autres personnes détenues et des tiers (let. h), de troubler l'ordre ou la tranquillité dans l'établissement ou les environs immédiats (let. i) et d'une façon générale, d'adopter un comportement contraire au but de l'établissement (let. j). 5.3 Si un détenu enfreint le REPSD, une sanction proportionnée à sa faute, ainsi qu’à la nature et à la gravité de l’infraction, lui est infligée (art. 46 al. 1 REPSD). Selon l’al. 3, le directeur de l'établissement et son suppléant en son absence sont compétents pour prononcer : un avertissement écrit (let. a) ; la suppression, complète ou partielle, pour une durée maximum de trois mois, des autorisations de sortie, des loisirs, des visites et de la possibilité de disposer des ressources financières (let. b) ; l'amende jusqu'à CHF 1'000.- (let. c) ; les arrêts pour dix jours au plus (let. d). 5.4 Quiconque, de manière contraire au droit, est attaqué ou menacé d'une attaque imminente a le droit de repousser l'attaque par des moyens proportionnés aux circonstances ; le même droit appartient aux tiers (art. 15 du Code pénal suisse du 21 décembre 1937 (CP - RS 311.0)).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 du Tribunal fédéral 6B_813/2025 du 10 janvier 2025 consid. 3.1).</w:t>
      </w:r>
    </w:p>
    <w:p>
      <w:r>
        <w:t>- 8/10 - A/4137/2025 Si une preuve stricte n'est pas exigée, la personne se prévalant d’une légitime défense doit rendre vraisemblable l'existence du fait justificatif. Il convient ainsi d'examiner si la version des faits invoquée pour justifier la licéité des actes de légitime défense apparaît crédible et plausible eu égard à l'ensemble des circonstances (Gérard PIQUEREZ/Alain MACALUSO, Procédure pénale suisse, 3e éd., Genève/Bâle/Zurich 2011, n. 555, p. 189). La défense doit apparaître proportionnée au regard de l’ensemble des circonstances. On doit notamment examiner la gravité de l'attaque, les biens juridiques menacés par celle-ci et par les moyens de défense, la nature de ces derniers ainsi que l'usage concret qui en a été fait (ATF 136 IV 49 consid. 3.2 ; 102 IV 65 consid. 2a ; 101 IV 119). 5.5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(ATA/439/2024 du 27 mars 2024 consid. 3.6 ; ATA/679/2023 du 26 juin 2023 consid. 5.4 ; ATA/219/2020 du 25 février 2020 consid. 6d et la référence citée). 5.6 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 et les références citées). 5.7 Dans sa jurisprudence, la chambre de céans a confirmé des sanctions d’arrêts de plusieurs (entre deux et cinq) jours de cellule forte pour des violences physiques commises sur des codétenus ou pour des rixes (ATA/1086/2025 du 7 octobre 2025 ; ATA/154/2025 du 11 février 2025 ; ATA/1432/2024 du 9 décembre 2024 ; ATA/1139/2024 du 30 septembre 2024). 5.8 En l'espèce, les images de vidéosurveillance couvrent l’atelier et le local de pause. On y voit le recourant, présent dans l’atelier, entrer d’un pas décidé dans le local de pause rejoindre un codétenu assis. Ce dernier s’est relevé lorsque le recourant s’est approché de lui. Les deux détenus ont ensuite levé leur bras à hauteur du cou de l’autre. Les images montrent qu’ils ont alors tenté de se porter des coups alors qu’un autre détenu cherchait à les séparer. Une bagarre s’en est suivie lors de laquelle les deux détenus se sont empoignés mutuellement. D’autres personnes détenues ont également dû intervenir afin de s’interposer et mettre un terme à la bagarre. Ainsi, même si l’on devait suivre la thèse du recourant, selon laquelle l’autre détenu aurait initié l’agression et qu’il était dans l’impossibilité de se défendre – ce qui ne ressort pas des images de vidéosurveaillance – le recourant ne s’est pas borné à se</w:t>
      </w:r>
    </w:p>
    <w:p>
      <w:r>
        <w:t>- 9/10 - A/4137/2025 défendre, mais a, au contraire, tenté de donner des coups, participant ainsi à l’escalade de la violence. Il a donc commis des violences physiques sur un autre détenu et, plus généralement, troublé l'ordre de l'établissement, étant rappelé que le comportement de l’autre détenu ne fait pas l’objet du présent litige. Ces infractions aux art. 42, 43, 44 let. h, i et j REPSD doivent dès lors être tenues établies. La sanction de cellule forte est la sanction la plus sévère dans le catalogue des sanctions. Toutefois, sa durée de trois jours prononcée in casu demeure dans la fourchette inférieure de la durée maximale autorisée et il a été tenu compte du fait que le recourant avait déjà des antécédents disciplinaires. Il n’y a, à cet égard, pas lieu de revenir sur les éléments ayant conduit au prononcé de ces différentes sanctions, celles-ci étant entrées en force. La sanction précitée est ainsi apte à atteindre le but d’intérêt public et est nécessaire compte tenu du fait que les bagarres entre détenus constituent une violation grave des règles de coexistence pacifique qui doivent prévaloir dans un établissement de détention. Au vu de ce qui précède, il apparaît que la sanction ne viole pas la loi ni ne consacre un abus du pouvoir d’appréciation de l’autorité intimée. Mal fondé, le recours sera rejeté.</w:t>
      </w:r>
    </w:p>
    <w:p>
      <w:r>
        <w:rPr>
          <w:b/>
        </w:rPr>
        <w:t>E. 6</w:t>
      </w:r>
    </w:p>
    <w:p>
      <w:r>
        <w:t>La procédure étant gratuite, il ne sera pas perçu d’émolument (art. 87 al. 1 cum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