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ATA/271/2022 vom 15. März 2022</w:t>
      </w:r>
    </w:p>
    <w:p>
      <w:r>
        <w:t>GE Cour de justice, 2022-03-15, FR</w:t>
      </w:r>
    </w:p>
    <w:p>
      <w:r>
        <w:rPr>
          <w:b/>
        </w:rPr>
        <w:t xml:space="preserve">Quelle: </w:t>
      </w:r>
      <w:r>
        <w:t>https://mcp.opencaselaw.ch/entscheid/ge_gerichte_ATA_271_2022</w:t>
      </w:r>
    </w:p>
    <w:p>
      <w:r>
        <w:t>FR: GE_GERICHTE ATA/271/2022 du 15 mars 2022</w:t>
      </w:r>
    </w:p>
    <w:p>
      <w:r>
        <w:t>IT: GE_GERICHTE ATA/271/2022 del 15 marzo 2022</w:t>
      </w:r>
    </w:p>
    <w:p>
      <w:pPr>
        <w:pStyle w:val="Heading2"/>
      </w:pPr>
      <w:r>
        <w:t>Erwägungen</w:t>
      </w:r>
    </w:p>
    <w:p>
      <w:r>
        <w:rPr>
          <w:b/>
        </w:rPr>
        <w:t>E. 12</w:t>
      </w:r>
    </w:p>
    <w:p>
      <w:r>
        <w:t>septembre 1985 - LPA - E 5 10). 2)</w:t>
      </w:r>
    </w:p>
    <w:p>
      <w:r>
        <w:t>Le recours porte sur la conformité au droit de la décision de l'OCPM de refuser de transmettre au SEM le dossier du recourant avec un préavis favorable, et de prononcer son renvoi de Suisse. 3) a. Le recours devant la chambre administrative peut être formé pour violation du droit, y compris l'excès et l'abus du pouvoir d'appréciation, ainsi que pour constatation inexacte ou incomplète des faits pertinents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w:t>
      </w:r>
    </w:p>
    <w:p>
      <w:r>
        <w:t>b. Le 1er janvier 2019 est entrée en vigueur une modification de la loi sur les étrangers du 16 décembre 2005 (LEtr), qui a alors été renommée LEI, et de l’OASA. Conformément à l’art. 126 al. 1 LEI, les demandes déposées, comme en l’espèce, après le 1er janvier 2019 sont régies par le nouveau droit (arrêt du Tribunal fédéral 2C_1075/2019 du 21 avril 2020 consid. 1.1). 4) a. 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du Kosovo.</w:t>
      </w:r>
    </w:p>
    <w:p>
      <w:r>
        <w:t>b. L'art. 30 al. 1 let. b LEI permet de déroger aux conditions d'admission en Suisse, telles que prévues aux art. 18 à 29 LEI, notamment aux fins de tenir compte des cas individuels d'une extrême gravité ou d'intérêts publics majeurs.</w:t>
      </w:r>
    </w:p>
    <w:p>
      <w:r>
        <w:t>c.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w:t>
      </w:r>
    </w:p>
    <w:p>
      <w:r>
        <w:t>- 8/15 - A/3339/2020 étranger à séjourner illégalement en Suisse (directives LEI, état au 1er janvier 2021, ch. 5.6.12).</w:t>
      </w:r>
    </w:p>
    <w:p>
      <w:r>
        <w:t>d.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w:t>
      </w:r>
    </w:p>
    <w:p>
      <w:r>
        <w:t>e.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w:t>
      </w:r>
    </w:p>
    <w:p>
      <w:r>
        <w:t>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5) a.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et</w:t>
      </w:r>
    </w:p>
    <w:p>
      <w:r>
        <w:t>- 9/15 - A/3339/2020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w:t>
      </w:r>
    </w:p>
    <w:p>
      <w:r>
        <w:t>b.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w:t>
      </w:r>
    </w:p>
    <w:p>
      <w:r>
        <w:rPr>
          <w:b/>
        </w:rPr>
        <w:t>E. 17</w:t>
      </w:r>
    </w:p>
    <w:p>
      <w:r>
        <w:t>novembre 2014 consid. 4.3). 6)</w:t>
      </w:r>
    </w:p>
    <w:p>
      <w:r>
        <w:t>En l'espèce, le recourant est entré en Suisse, sans titre de séjour, en 2013. Ainsi, au moment du dépôt de sa demande de délivrance d'une autorisation de séjour avec activité lucrative le 15 avril 2019, le recourant séjournait en Suisse tout au plus depuis six ans. Même en prenant en compte le séjour effectué depuis au bénéfice d'une tolérance, le séjour en Suisse du recourant est inférieur à dix ans. À elle seule, la durée de son séjour ne permet pas de retenir un cas d'extrême gravité, d'autant que l'entier de ce séjour a été effectué dans l'illégalité ou au bénéfice d'une simple tolérance, ce qui le relativise.</w:t>
      </w:r>
    </w:p>
    <w:p>
      <w:r>
        <w:t>Il n'apparaît en outre pas que l'intéressé se soit créé des attaches particulièrement étroites avec la Suisse au point de rendre étranger son pays d'origine. En effet, il n'est arrivé en Suisse qu'à l'âge de 18 ans, et a donc vécu toute son enfance et son adolescence au Kosovo, de sorte que la chambre de céans ne saurait admettre que les années passées en Suisse soient déterminantes pour la formation de sa personnalité et, partant, pour son intégration socio-culturelle.</w:t>
      </w:r>
    </w:p>
    <w:p>
      <w:r>
        <w:t>Le recourant parle le français, sans toutefois avoir démontré posséder un niveau de langue élevé. Il s'est par ailleurs créé un cercle d'amis et de collègues en Suisse. Toutefois, les relations de travail, d'amitié, de voisinage que l'étranger</w:t>
      </w:r>
    </w:p>
    <w:p>
      <w:r>
        <w:t>- 10/15 - A/3339/2020 noue durant son séjour en Suisse ne constituent pas, à elles seules, des circonstances de nature à justifier un cas de rigueur (arrêts du TAF F-3168/2015 du 6 août 2018 consid. 8.5.2 ; F-643/2016 du 24 juillet 2017 consid. 5.2.3). Par ailleurs, il ne s'est pas investi personnellement, que ce soit dans la vie associative ou dans la culture genevoise. Il ne peut dès lors être retenu qu'il aurait fait preuve d'une intégration sociale exceptionnelle en comparaison avec d'autres étrangers qui travaillent en Suisse depuis plusieurs années (arrêts du TAF F-6480/2016 du 15 octobre 2018 consid. 8.2 ; C-5235/2013 du 10 décembre 2015 consid. 8.2).</w:t>
      </w:r>
    </w:p>
    <w:p>
      <w:r>
        <w:t>Sur le plan professionnel et financier, il faut reconnaître que le recourant est indépendant financièrement depuis son arrivée en Suisse et qu'il n'a jamais bénéficié de l'aide sociale. Cela étant, l'indépendance économique est un aspect qui est en principe attendu de tout étranger désireux de s'établir durablement en Suisse et ne constitue donc pas un élément extraordinaire en faveur du recourant. Ainsi, si cet élément pourrait être favorable au recourant, il relève du comportement que l’on est en droit d’attendre de toute personne séjournant dans le pays (arrêts du Tribunal fédéral 2C_779/2016 du 13 septembre 2016 consid. 4.2 ; 2C_789/2014 du 20 février 2015 consid. 2.2.2).</w:t>
      </w:r>
    </w:p>
    <w:p>
      <w:r>
        <w:t>Par ailleurs, les activités du recourant, qui a œuvré dans le domaine du bâtiment, ne sont pas constitutives d'une ascension professionnelle remarquable et ne l'ont pas conduit à acquérir des connaissances professionnelles spécifiques à la Suisse, qu'il ne pourrait mettre à profit dans un autre pays, en particulier son pays d'origine. L'activité professionnelle exercée par l'intéressé en Suisse ne lui permet donc pas de se prévaloir d'une intégration professionnelle exceptionnelle au sens de la jurisprudence précitée.</w:t>
      </w:r>
    </w:p>
    <w:p>
      <w:r>
        <w:t>S'agissant de ses possibilités de réintégration dans son pays d'origine, le recourant est né au Kosovo, dont il parle la langue et où il a vécu son enfance et son adolescence. Il est en bonne santé et, de retour dans son pays d'origine, dans lequel il s'est rendu au moins une fois depuis qu'il séjourne en Suisse, pour des raisons familiales, le recourant pourra faire valoir l'expérience professionnelle et les connaissances linguistiques acquises en Suisse, notamment dans le domaine du bâtiment. Le taux de chômage élevé au Kosovo, en particulier chez les jeunes, n'y change rien.</w:t>
      </w:r>
    </w:p>
    <w:p>
      <w:r>
        <w:t>Dans ces circonstances, il n'apparaît pas que les difficultés auxquelles le recourant devrait faire face en cas de retour au Kosovo seraient pour lui plus graves que pour la moyenne des étrangers, en particulier des ressortissants kosovars retournant dans leur pays.</w:t>
      </w:r>
    </w:p>
    <w:p>
      <w:r>
        <w:t>Le recourant ne présente donc pas une situation de détresse personnelle au sens de l'art. 30 al. 1 let. b LEI, ce quand bien même il ne peut être nié qu'un retour dans son pays d'origine pourra engendrer pour lui certaines difficultés de réadaptation. Il ne se justifie en conséquence pas de déroger aux conditions</w:t>
      </w:r>
    </w:p>
    <w:p>
      <w:r>
        <w:t>- 11/15 - A/3339/2020 d'admission en Suisse en faveur du recourant, au vu de la jurisprudence très stricte en la matière. Enfin, il sera rappelé que l’autorité intimée bénéficie d’un large pouvoir d’appréciation que la chambre de céans ne revoit qu’en cas d’abus ou d’excès. Tel n’est toutefois pas le cas en l’espèce.</w:t>
      </w:r>
    </w:p>
    <w:p>
      <w:r>
        <w:t>L'autorité intimée était en conséquence fondée à refuser de donner une suite positive à la demande d'autorisation de séjour déposée par le recourant et l'instance précédente à confirmer ledit refus. 7) a. Aux termes de l’art. 64 al. 1 let. c LEI, tout étranger dont l’autorisation est refusée, révoquée ou n’est pas prolongée après un séjour autorisé est renvoyé. La décision de renvoi est assortie d’un délai de départ raisonnable (art. 64d al. 1 LEI).</w:t>
      </w:r>
    </w:p>
    <w:p>
      <w:r>
        <w:t>b. Le renvoi d’un étranger ne peut toutefois être ordonné que si l’exécution de cette mesure est possible, licite ou peut être raisonnablement exigée (art. 83 al. 1 LEI).</w:t>
      </w:r>
    </w:p>
    <w:p>
      <w:r>
        <w:t>L’exécution du renvoi d’un étranger n’est pas possible lorsque celui-ci ne peut quitter la Suisse pour son État d’origine, son État de provenance ou un État tiers, ni être renvoyé dans un de ces États (art. 83 al. 2 LEI). Elle n’est pas licite lorsqu’il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t>c. En l'espèce, le dossier ne laisse pas apparaître d’éléments qui tendraient à démontrer que le renvoi du recourant serait impossible, illicite ou non raisonnablement exigible.</w:t>
      </w:r>
    </w:p>
    <w:p>
      <w:r>
        <w:t>Dans ces circonstances, la décision de l'autorité intimée est conforme au droit et le recours contre le jugement du TAPI, entièrement mal fondé, sera rejeté. 8)</w:t>
      </w:r>
    </w:p>
    <w:p>
      <w:r>
        <w:t>Vu l'issue du litige, un émolument de CHF 400.- sera mis à la charge du recourant, qui succombe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