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ATA/271/2019 vom 19. März 2019</w:t>
      </w:r>
    </w:p>
    <w:p>
      <w:r>
        <w:t>GE Cour de justice, 2019-03-19, FR</w:t>
      </w:r>
    </w:p>
    <w:p>
      <w:r>
        <w:rPr>
          <w:b/>
        </w:rPr>
        <w:t xml:space="preserve">Quelle: </w:t>
      </w:r>
      <w:r>
        <w:t>https://mcp.opencaselaw.ch/entscheid/ge_gerichte_ATA_271_2019</w:t>
      </w:r>
    </w:p>
    <w:p>
      <w:r>
        <w:t>FR: GE_GERICHTE ATA/271/2019 du 19 mars 2019</w:t>
      </w:r>
    </w:p>
    <w:p>
      <w:r>
        <w:t>IT: GE_GERICHTE ATA/271/2019 del 19 marzo 2019</w:t>
      </w:r>
    </w:p>
    <w:p>
      <w:pPr>
        <w:pStyle w:val="Heading2"/>
      </w:pPr>
      <w:r>
        <w:t>Regeste</w:t>
      </w:r>
    </w:p>
    <w:p>
      <w:r>
        <w:t>Résumé: La décision attaquée ne contenant aucune motivation, ni en annexe les documents sur lesquels elle se fonde, le recourant n'était pas en mesure d'en connaître les motifs. Aucun élément ne permettait d'envisager la motivation développée dans ses écritures responsives par l'autorité intimée ni de comprendre son refus de faire droit à la demande du recourant. L'automne n'ayant pas non plus produit les documents fondant la décision litigieuse dans le cadre de la procédure de recours, le droit d'être entendu de l'intéressé a effectivement été violé. Recours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27 février 2018 de la ville refusant de réduire le temps de travail du recourant de 20 %.</w:t>
      </w:r>
    </w:p>
    <w:p>
      <w:r>
        <w:rPr>
          <w:b/>
        </w:rPr>
        <w:t>E. 3</w:t>
      </w:r>
    </w:p>
    <w:p>
      <w:r>
        <w:t>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w:t>
      </w:r>
    </w:p>
    <w:p>
      <w:r>
        <w:rPr>
          <w:b/>
        </w:rPr>
        <w:t>E. 4</w:t>
      </w:r>
    </w:p>
    <w:p>
      <w:r>
        <w:t>En tant qu'employé communal, le recourant est soumis au statut, ce que les parties ne contestent pas.</w:t>
      </w:r>
    </w:p>
    <w:p>
      <w:r>
        <w:rPr>
          <w:b/>
        </w:rPr>
        <w:t>E. 5</w:t>
      </w:r>
    </w:p>
    <w:p>
      <w:r>
        <w:t>À titre liminaire, le recourant considère que la décision du 27 février 2018 n'est pas motivée, de sorte que la ville aurait violé son droit d'être entendu. Le fait qu'il ait pu recourir contre ladite décision n'annule pas cette carence. Les écritures responsives de la ville contenaient quelques éléments de motivation, lesquels auraient dû être développés dans la décision du 27 février 2018.</w:t>
      </w:r>
    </w:p>
    <w:p>
      <w:r>
        <w:t>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 la motivation peut d'ailleurs être implicite et</w:t>
      </w:r>
    </w:p>
    <w:p>
      <w:r>
        <w:t>- 7/10 - A/1253/2018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t>b. La violation du droit d’être entendu doit en principe entraîner l’annulation de la décision attaquée, indépendamment des chances du recourant sur le fond (ATF 133 III 235 consid. 5.3 p. 250 ; arrêts du Tribunal fédéral 8C.104/2010 du 29 septembre 2010 consid. 3.2 ; 4A.15/2010 du 15 mars 2010 consid. 3.2 ; ATA/862/2010 du 7 décembre 2010 consid 2 et arrêts cités). Cette violation est toutefois réparable devant l’instance du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(Arrêts du Tribunal fédéral 1C.161/2010 du 21 octobre 2010 consid. 2.1 ; 8C.104/2010 du 29 septembre 2010 consid. 3.2 ; 5A.150/2010 du 20 mai 2010 consid. 4.3 ; 1C.104/2010 du 29 avril 2010 consid. 2 ; ATA/435/2010 du 22 juin 2010 consid. 2 ; ATA/205/2010 du 23 mars 2010 consid. 5).</w:t>
      </w:r>
    </w:p>
    <w:p>
      <w:r>
        <w:t>c.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w:t>
      </w:r>
    </w:p>
    <w:p>
      <w:r>
        <w:t>d. En l'espèce, il est vrai que la décision du 27 février 2018 ne contient aucune indication, hormis celle selon laquelle la ville a pris connaissance du rapport de la DRH relatif à la demande de la réduction de taux d'activité du recourant en application de l'art. 74 al. 2 du statut, et la référence à sa décision du 2 septembre 2015.</w:t>
      </w:r>
    </w:p>
    <w:p>
      <w:r>
        <w:t>Ni le rapport précité ni le préavis favorable du E_______, dont l'intimée ne conteste pas l'élaboration, n'ont été joints à cette décision, pas plus qu'ils n'ont été fournis dans le dossier produit dans le cadre de la présente procédure.</w:t>
      </w:r>
    </w:p>
    <w:p>
      <w:r>
        <w:t>La seule alternative pour le recourant de connaître les motifs du refus de sa demande de réduction de temps de travail a été de déposer son recours du 16 avril 2018, imposant ainsi à l'intimée de faire part de son argumentation dans ses écritures responsives du 25 mai 2018. En ces circonstances, cette dernière a fait état, selon elle, de « motifs sérieux et objectifs » liés à l'organisation du service et aux répercussions financières de la mise en œuvre de l'art. 74 al. 2 du</w:t>
      </w:r>
    </w:p>
    <w:p>
      <w:r>
        <w:t>- 8/10 - A/1253/2018 statut. Or, aucun élément esquissant une telle motivation ne figure dans la décision querellée.</w:t>
      </w:r>
    </w:p>
    <w:p>
      <w:r>
        <w:t>Si une telle démarche peut être admissible lorsqu'il est statutairement impossible de faire droit à une demande d'un fonctionnaire (ATA/528/2011 du 30 août 2011 consid. 9), tel ne saurait être le cas dans des situations où, potentiellement, le statut permet de faire droit à la demande concernée, sous réserve du pouvoir d'appréciation de l'autorité compétente. Le respect du principe de l'interdiction de l'arbitraire implique notamment que plus le pouvoir d'appréciation est important, plus il est nécessaire que la décision de l'autorité soit motivée afin que le justiciable puisse en comprendre les tenants et aboutissants.</w:t>
      </w:r>
    </w:p>
    <w:p>
      <w:r>
        <w:t>Non seulement, la décision ne contient aucune mention des éléments invoqués par l'intimée dans le cadre de la présente procédure, mais en plus, aucun des documents auxquels il est fait référence pour la justifier n'y est joint ni n'a été produit avec le dossier. Dès lors, il faut retenir qu'aucun élément ne permet en réalité de comprendre ce qui a motivé le refus de l'intimée de faire droit à la demande du recourant. Ceci apparaît d'autant moins compréhensible que, dans d'autres décisions fondées sur les motifs précités, ceux-ci y étaient mentionnés, alors que tel n'est pas le cas en l'occurrence.</w:t>
      </w:r>
    </w:p>
    <w:p>
      <w:r>
        <w:t>Faute d'avoir motivé sa décision, l'intimée n'a pas respecté le droit d'être entendu du recourant, et force est de constater que cette violation n'a pas été réparée devant la chambre de céans, dans la mesure où elle aurait pu l'être.</w:t>
      </w:r>
    </w:p>
    <w:p>
      <w:r>
        <w:t>Ce grief doit être admis.</w:t>
      </w:r>
    </w:p>
    <w:p>
      <w:r>
        <w:rPr>
          <w:b/>
        </w:rPr>
        <w:t>E. 6</w:t>
      </w:r>
    </w:p>
    <w:p>
      <w:r>
        <w:t>Le recours devant déjà être admis pour ce seul motif, les autres griefs invoqués peuvent souffrir de demeurer indécis.</w:t>
      </w:r>
    </w:p>
    <w:p>
      <w:r>
        <w:t>Au vu de ce qui précède, la décision querellée sera annulée et le dossier renvoyé à l'intimée pour nouvelle décision, laquelle devra être dûment motivée.</w:t>
      </w:r>
    </w:p>
    <w:p>
      <w:r>
        <w:rPr>
          <w:b/>
        </w:rPr>
        <w:t>E. 7</w:t>
      </w:r>
    </w:p>
    <w:p>
      <w:r>
        <w:t>Vu l'issue du litige, aucun émolument ne sera perçu (art. 87 al. 1 LPA) et une indemnité de CHF 1'000.- sera allouée au recourant, qui a procédé avec l’aide d’un avocat et y a conclu, à la charge de l'intimée (art. 87 al. 2 LPA).</w:t>
      </w:r>
    </w:p>
    <w:p>
      <w:r>
        <w:t>* * * * *</w:t>
      </w:r>
    </w:p>
    <w:p>
      <w:r>
        <w:t>- 9/10 - A/1253/2018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