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ATA/270/2015 vom 17. März 2015</w:t>
      </w:r>
    </w:p>
    <w:p>
      <w:r>
        <w:t>GE Cour de justice, 2015-03-17, FR</w:t>
      </w:r>
    </w:p>
    <w:p>
      <w:r>
        <w:rPr>
          <w:b/>
        </w:rPr>
        <w:t xml:space="preserve">Quelle: </w:t>
      </w:r>
      <w:r>
        <w:t>https://mcp.opencaselaw.ch/entscheid/ge_gerichte_ATA_270_2015</w:t>
      </w:r>
    </w:p>
    <w:p>
      <w:r>
        <w:t>FR: GE_GERICHTE ATA/270/2015 du 17 mars 2015</w:t>
      </w:r>
    </w:p>
    <w:p>
      <w:r>
        <w:t>IT: GE_GERICHTE ATA/270/2015 del 17 marzo 2015</w:t>
      </w:r>
    </w:p>
    <w:p>
      <w:pPr>
        <w:pStyle w:val="Heading2"/>
      </w:pPr>
      <w:r>
        <w:t>Erwägungen</w:t>
      </w:r>
    </w:p>
    <w:p>
      <w:r>
        <w:rPr>
          <w:b/>
        </w:rPr>
        <w:t>E. 16</w:t>
      </w:r>
    </w:p>
    <w:p>
      <w:r>
        <w:t>RIJBEP. Il n’a pas expliqué de manière convaincante pourquoi les prestations devaient être interrompues au milieu de l’année scolaire. Il y a donc violation du droit (art. 61 al. 1 let. a LPA).</w:t>
      </w:r>
    </w:p>
    <w:p>
      <w:r>
        <w:t>Le recours doit donc être admis et les prestations de logopédie accordées selon la demande de renouvellement, c’est-à-dire jusqu’au 29 août 2015. 6.</w:t>
      </w:r>
    </w:p>
    <w:p>
      <w:r>
        <w:t>Aucun émolument ne sera mis à la charge des recourants, qui obtiennent gain de cause, ni de l’office de l’enfance et de la jeunesse qui en est dispensé de par la loi (art. 87 al. 1 LPA). N'ayant pas exposé de frais pour leur défense, il ne sera pas alloué d'indemnité de procédure aux recourants (art. 87 al. 2 LPA).</w:t>
      </w:r>
    </w:p>
    <w:p>
      <w:r>
        <w:t>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