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ATA/267/2011 vom 3. Mai 2011</w:t>
      </w:r>
    </w:p>
    <w:p>
      <w:r>
        <w:t>GE Cour de justice, 2011-05-03, FR</w:t>
      </w:r>
    </w:p>
    <w:p>
      <w:r>
        <w:rPr>
          <w:b/>
        </w:rPr>
        <w:t xml:space="preserve">Quelle: </w:t>
      </w:r>
      <w:r>
        <w:t>https://mcp.opencaselaw.ch/entscheid/ge_gerichte_ATA_267_2011</w:t>
      </w:r>
    </w:p>
    <w:p>
      <w:r>
        <w:t>FR: GE_GERICHTE ATA/267/2011 du 3 mai 2011</w:t>
      </w:r>
    </w:p>
    <w:p>
      <w:r>
        <w:t>IT: GE_GERICHTE ATA/267/2011 del 3 maggio 2011</w:t>
      </w:r>
    </w:p>
    <w:p>
      <w:pPr>
        <w:pStyle w:val="Heading2"/>
      </w:pPr>
      <w:r>
        <w:t>Regeste</w:t>
      </w:r>
    </w:p>
    <w:p>
      <w:r>
        <w:t>Résumé: Rappel du principe selon lequel les autorités administratives appelées à prononcer un retrait du permis de conduire ne peuvent s'écarter des constatations de fait d'un jugement pénal entré en force qu'à des conditions restrictives, même lorsque le jugement a été rendu au terme d'une procédure sommaire se fondant uniquement sur un rapport de police. En l'espèce, le recourant qui conteste le retrait de son permis de conduire ne peut soutenir devant la chambre administrative que la période de deux ans et demi écoulée entre la notification de trois contraventions pour excès de vitesse et celle du retrait du permis consécutif était trop longue pour se souvenir s'il était bien le conducteur du véhicule, dès lors qu'il n'a pas contesté lesdites contraventions.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au 31 décembre 2010).</w:t>
      </w:r>
    </w:p>
    <w:p>
      <w:r>
        <w:rPr>
          <w:b/>
        </w:rPr>
        <w:t>E. 3</w:t>
      </w:r>
    </w:p>
    <w:p>
      <w:r>
        <w:t>Le recourant se plaint d'un déni de justice, la commission n'ayant pas pu prendre connaissance des photographies prises lors des infractions.</w:t>
      </w:r>
    </w:p>
    <w:p>
      <w:r>
        <w:t>- 5/7 - A/2102/2010</w:t>
      </w:r>
    </w:p>
    <w:p>
      <w:r>
        <w:t>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w:t>
      </w:r>
    </w:p>
    <w:p>
      <w:r>
        <w:t>En l'espèce, l'éventuelle violation du droit d'être entendu a été réparée par la chambre administrative, qui a obtenu du service des contraventions les clichés concernés, et les a soumis au recourant.</w:t>
      </w:r>
    </w:p>
    <w:p>
      <w:r>
        <w:t>Partant, ce grief sera écarté.</w:t>
      </w:r>
    </w:p>
    <w:p>
      <w:r>
        <w:rPr>
          <w:b/>
        </w:rPr>
        <w:t>E. 4</w:t>
      </w:r>
    </w:p>
    <w:p>
      <w:r>
        <w:t>a.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 119 Ib 158 consid. 3c/aa p. 164 ; 105 Ib 18 consid. 1a p. 19 ; 101 Ib 270 consid. 1b p. 273 s. ; 96 I 766 consid. 5 p. 774 s.).</w:t>
      </w:r>
    </w:p>
    <w:p>
      <w:r>
        <w:t>Le champ d’application de ce principe a progressivement été entendu,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w:t>
      </w:r>
    </w:p>
    <w:p>
      <w:r>
        <w:t>- 6/7 - A/2102/2010 police. Il en va notamment ainsi lorsque la personne impliquée savait ou aurait dû prévoir, en raison de la gravité des faits qui lui sont reprochés, qu’il y aura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(ATF 123 II 97 consid. 3c/aa p. 104 ; 121 II 214 consid. 3a p. 217 s.).</w:t>
      </w:r>
    </w:p>
    <w:p>
      <w:r>
        <w:rPr>
          <w:b/>
        </w:rPr>
        <w:t>E. 5</w:t>
      </w:r>
    </w:p>
    <w:p>
      <w:r>
        <w:t>En l’espèce, le recourant s’est vu notifier trois contraventions concernant les excès de vitesse litigieux.</w:t>
      </w:r>
    </w:p>
    <w:p>
      <w:r>
        <w:t>L’intéressé, qui avait déjà reçu un avertissement suite à un excès de vitesse, devait s’attendre à recevoir une mesure administrative. Malgré cela, il n’a pas contesté les amendes, admettant ainsi implicitement être l’auteur des infractions.</w:t>
      </w:r>
    </w:p>
    <w:p>
      <w:r>
        <w:t>Il ne peut dans ces circonstances soutenir maintenant devant la juridiction administrative que la période écoulée entre la constatation des infractions et la notification de la mesure était trop longue.</w:t>
      </w:r>
    </w:p>
    <w:p>
      <w:r>
        <w:t>En conséquence, le recours sera rejeté.</w:t>
      </w:r>
    </w:p>
    <w:p>
      <w:r>
        <w:rPr>
          <w:b/>
        </w:rPr>
        <w:t>E. 6</w:t>
      </w:r>
    </w:p>
    <w:p>
      <w:r>
        <w:t>Au vu de cette issue, le recourant, qui succombe, sera condamné à verser un émolument de procédure de CHF 400.-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