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ATA/267/2008 vom 27. Mai 2008</w:t>
      </w:r>
    </w:p>
    <w:p>
      <w:r>
        <w:t>GE Cour de justice, 2008-05-27, FR</w:t>
      </w:r>
    </w:p>
    <w:p>
      <w:r>
        <w:rPr>
          <w:b/>
        </w:rPr>
        <w:t xml:space="preserve">Quelle: </w:t>
      </w:r>
      <w:r>
        <w:t>https://mcp.opencaselaw.ch/entscheid/ge_gerichte_ATA_267_2008</w:t>
      </w:r>
    </w:p>
    <w:p>
      <w:r>
        <w:t>FR: GE_GERICHTE ATA/267/2008 du 27 mai 2008</w:t>
      </w:r>
    </w:p>
    <w:p>
      <w:r>
        <w:t>IT: GE_GERICHTE ATA/267/2008 del 27 maggio 2008</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 let. a de la loi sur la procédure administrative du 12 septembre 1985 - LPA - E 5 10).</w:t>
      </w:r>
    </w:p>
    <w:p>
      <w:r>
        <w:t>Selon l’article 61 alinéa 1er LPA, l’acte de recours contient, sous peine d’irrecevabilité, la désignation de la décision attaquée et les conclusions du recourant.</w:t>
      </w:r>
    </w:p>
    <w:p>
      <w:r>
        <w:t>L’acte de recours est fort de près de six pages manuscrites. La dernière contient la mention de l’autorité intimée et celle de la date de la décision entreprise. Le recourant expose en plus qu’il y fait opposition. Le recours désigne ainsi la décision attaquée et contient des conclusions. Il satisfait à l’article 65 alinéa 1er LPA et sera déclaré recevable.</w:t>
      </w:r>
    </w:p>
    <w:p>
      <w:r>
        <w:rPr>
          <w:b/>
        </w:rPr>
        <w:t>E. 2</w:t>
      </w:r>
    </w:p>
    <w:p>
      <w:r>
        <w:t>Il convient encore de déterminer l’objet du litige. A teneur de la décision de clôture de la procédure de contrôle, datée du 4 octobre 2005, les « périodes fiscales » 2000 à 2003 sont concernées par cette procédure. Dans sa décision contestée du 28 janvier 2008, la commission a également fondé son examen sur les revenus des années civiles 2000 à 2003 inclusivement. Ont donc été soumis à la procédure de contrôle les revenus acquis par le recourant durant les années 2000 à 2003.</w:t>
      </w:r>
    </w:p>
    <w:p>
      <w:r>
        <w:t>- 7/13 - A/513/2008</w:t>
      </w:r>
    </w:p>
    <w:p>
      <w:r>
        <w:rPr>
          <w:b/>
        </w:rPr>
        <w:t>E. 3</w:t>
      </w:r>
    </w:p>
    <w:p>
      <w:r>
        <w:t>Selon une jurisprudence constante du tribunal de céans, la notion de rappel d’impôt relève du droit matériel (ATA/190/2008 du 22 avril 2008 ; ATA/96/2008 du 4 mars 2008 et ATA/378/2005 du 24 mai 2005).</w:t>
      </w:r>
    </w:p>
    <w:p>
      <w:r>
        <w:t>Il en découle que la LCP est applicable à l’année 2000, que la LHID l’est directement à l’année 2001 ; les années 2002 et 2003 étant en outre régies la LPFisc, entrée en vigueur le 1er janvier 2002.</w:t>
      </w:r>
    </w:p>
    <w:p>
      <w:r>
        <w:rPr>
          <w:b/>
        </w:rPr>
        <w:t>E. 4</w:t>
      </w:r>
    </w:p>
    <w:p>
      <w:r>
        <w:t>Selon les articles 333 et 340 aLCP, le contribuable doit s’acquitter des impôts qu’il aurait dû verser à l’issue de la procédure de contrôle simplifiée (cf. notamment ATA/22/2005 du 8 janvier 2005 confirmé par arrêt du Tribunal fédéral 2 P.82/2005 du 10 mars 2005) ; quant à l’article 53 LHID, il permet de procéder au rappel de l’impôt qui n’a pas été perçu notamment lorsqu’une taxation entrée en force est incomplète. Enfin, à teneur des articles 59 et 60 LPFisc, le fisc peut procéder à un rappel d’impôt, notamment lorsqu’une taxation entrée en force est incomplète.</w:t>
      </w:r>
    </w:p>
    <w:p>
      <w:r>
        <w:t>En l’espèce, le recourant ne conteste pas avoir réalisé des revenus provenant d’une activité indépendante durant les périodes fiscales considérées. Il a également perçu une pension de l’Etat français. Au cours de la procédure en rappel d’impôt, l’intéressé n’a pas fourni plus de détails quant à cette pension et n’a pas non plus déposé de document probant permettant d’apprécier l’ampleur de son activité de peintre. L’administration était dès lors fondée à procéder comme en matière de taxation d’office sur la base des indices dont elle disposait. Il appartenait par voie de conséquence au recourant de prouver que la taxation établie par l’administration était erronée. Or, celui-ci ne s’est pas plié à cette obligation, se contentant d’explications vagues, notamment quant au prétendu destinataire de la somme de CHF 16'000.- qu’il a reçue en 2003.</w:t>
      </w:r>
    </w:p>
    <w:p>
      <w:r>
        <w:t>Par un renversement du fardeau de la preuve, il revenait au recourant de démontrer l’inexactitude de la taxation d’office opérée par l’AFC. Il n’y est pas parvenu, de telle sorte que la reprise opérée par cette administration à hauteur de CHF 32'000.- de revenu de l’activité indépendante par année concernée doit être confirmée.</w:t>
      </w:r>
    </w:p>
    <w:p>
      <w:r>
        <w:rPr>
          <w:b/>
        </w:rPr>
        <w:t>E. 5</w:t>
      </w:r>
    </w:p>
    <w:p>
      <w:r>
        <w:t>Le recourant a fait l’objet d’une amende, arrêtée sur réclamation aux trois quarts de l’impôt éludé. Comme il a déclaré « faire opposition » à la décision litigieuse, il convient d’admettre qu’il conteste également la sanction dont il a fait l’objet.</w:t>
      </w:r>
    </w:p>
    <w:p>
      <w:r>
        <w:t>Reste à examiner le principe et cas échéant la quotité de l'amende.</w:t>
      </w:r>
    </w:p>
    <w:p>
      <w:r>
        <w:t>a. L’article 84 LPFisc prévoit que les sanctions pénales afférentes à des infractions réalisées avant l’entrée en vigueur de la présente loi sont prononcées</w:t>
      </w:r>
    </w:p>
    <w:p>
      <w:r>
        <w:t>- 8/13 - A/513/2008 conformément à l’ancien droit, dans la mesure où le nouveau droit n’est pas plus favorable (ATA/317/2007 du 12 juin 2007).</w:t>
      </w:r>
    </w:p>
    <w:p>
      <w:r>
        <w:t>b. Depuis le 1er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c.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6</w:t>
      </w:r>
    </w:p>
    <w:p>
      <w:r>
        <w:t>Il convient donc d'examiner d'abord la question de la culpabilité du recourant.</w:t>
      </w:r>
    </w:p>
    <w:p>
      <w:r>
        <w:t>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 ATA/496/2003 du 17 juin 2003).</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- 9/13 - A/513/2008</w:t>
      </w:r>
    </w:p>
    <w:p>
      <w:r>
        <w:t>Tant l’AFC que la commission ont qualifié d’intentionnelle la faute du recourant ; pour l’autorité juridictionnelle de première instance, le recourant avait rempli de manière inexacte ses déclarations afférentes à quatre exercices fiscaux, de 2000 à 2003. Durant cette période, il avait exercé une activité lucrative, réalisant ainsi un revenu supplémentaire dont il n’avait fait nulle mention. Sur le vu de leur ampleur et de leur répétition durant plusieurs années, de telles omissions étaient forcément connues de l’intéressé. Il avait donc agi avec l’intention de tromper le fisc ou avait du moins envisagé de le faire. Aux considérations de cette commission, que le tribunal de céans fera siennes, il convient d’ajouter le fait que le recourant après avoir été confronté à la facture d’un montant de CHF 16'000.- qu’il avait émise, s’est répandu en explications peu convaincantes, affirmant notamment avoir sous-traité des travaux auxquels elle correspondait à un tiers, sans être en mesure pour autant de désigner ce dernier. S’il a certes déclaré spontanément une pension qu’il recevait de l’Etat français dans le cadre de la procédure de contrôle, il est utile de retenir qu’il ne l’avait pas fait au stade de la taxation normale et qu’il n’a jamais déposé de document permettant de connaître le montant exact de celle-ci. On ne peut exclure que l’intéressé s’était renseigné auprès du fisc français quant au traitement réservé à la pension qu’il recevait, mais il ne lui échappait pas qu’il était soumis à la souveraineté fiscale helvétique et que c’était dès lors aux autorités de ce dernier pays qu’il convenait de poser aussi toute question relative à l’imposition de la pension qu’il recevait.</w:t>
      </w:r>
    </w:p>
    <w:p>
      <w:r>
        <w:t>Concernant tant les travaux de peintre que cette pension reçue d’un état étranger, il ne fait aucun doute que le comportement du recourant était intentionnel.</w:t>
      </w:r>
    </w:p>
    <w:p>
      <w:r>
        <w:rPr>
          <w:b/>
        </w:rPr>
        <w:t>E. 7</w:t>
      </w:r>
    </w:p>
    <w:p>
      <w:r>
        <w:t>Selon des principes qui n’ont pas été remis en cause, l’administration doit faire preuve de sévérité afin d’assurer le respect de la loi et jouit d’un large pouvoir d’appréciation pour infliger une amende et pour fixer son montant (A. GRISEL, Traité de droit administratif, Neuchâtel 1984, p. 646-648 ; ATA/632/2001 du 9 octobre 2001). La juridiction de céans ne la censure qu'en cas d'excès (ATA/518/2004 du 8 juin 2004). Enfin, l’amende doit respecter le principe de la proportionnalité (ATA/518/2004 du 8 juin 2004 ; ATA P. du 5 août 1997).</w:t>
      </w:r>
    </w:p>
    <w:p>
      <w:r>
        <w:t>Il sera fait application de l’article 69 alinéa 2 LPFisc, celui-ci étant plus favorable que l’ancienne disposition. L’amende maximale peut atteindre le triple du montant de l’impôt soustrait en cas de faute grave, la règle générale prévoyant une amende correspondant au montant de l’impôt soustrait.</w:t>
      </w:r>
    </w:p>
    <w:p>
      <w:r>
        <w:t>En l’espèce, l’amende ayant été fixée aux trois quarts de l’impôt soustrait alors que le maximum légal de l’article 69 alinéa 2 LPFisc est du triple , il reconnaît d’admettre que l’autorité administrative a fait preuve de modération. Seule plaiderait en faveur d’une nouvelle réduction la situation sociale difficile</w:t>
      </w:r>
    </w:p>
    <w:p>
      <w:r>
        <w:t>- 10/13 - A/513/2008 dont se prévaut le contribuable. Or, il ressort du dossier que celui-ci reçoit outre une rentre AVS-AI, des prestations complémentaires ainsi que des subsides de l’assurance-maladie et des allocations familiales. Même si elle est modeste, sa situation économique n’a rien de si particulier qu’elle justifierait une réduction supplémentaire allant au-delà de celle déjà décidée par l’administration intimée. Sur ce point également, la décision de la commission doit être confirmée.</w:t>
      </w:r>
    </w:p>
    <w:p>
      <w:r>
        <w:rPr>
          <w:b/>
        </w:rPr>
        <w:t>E. 8</w:t>
      </w:r>
    </w:p>
    <w:p>
      <w:r>
        <w:t>Le bien-fondé des reprises fiscales et de l'amende étant acquis, le Tribunal administratif doit encore examiner si ces dernières ne sont pas prescrites. Cette question doit être examinée d'office lorsqu'un particulier est débiteur de l'Etat (ATF 106 Ib 364 ; ATA/96/2008 du 4 mars 2008 ; ATA/21/2005 du 18 janvier 2005).</w:t>
      </w:r>
    </w:p>
    <w:p>
      <w:r>
        <w:t>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(ATA/547/2001 du 28 août 2001 et les références citées).</w:t>
      </w:r>
    </w:p>
    <w:p>
      <w:r>
        <w:t>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(cf. RDAF 1989, p. 352), tel un bordereau rectificatif. Si un tel acte est intervenu avant l'échéance du délai de cinq ans imparti par la loi, le droit de procéder à la taxation n'est plus limité, l’aLCP n'instituant pas de prescription absolue du droit de taxer (ATA/547/2001 du 28 août 2001).</w:t>
      </w:r>
    </w:p>
    <w:p>
      <w:r>
        <w:t>En l'espèce, la date de l'envoi du bordereau initial concernant la période fiscal 2000 ne ressort pas du dossier de l’autorité intimée ; cette date est toutefois sans pertinence dans la présente espèce, car la notification des bordereaux rectificatifs du 4 octobre 2005 est intervenue dans les cinq ans suivant la fin de la première période fiscale concernée par le rappel d'impôt, soit au 31 décembre 2000. Le droit de taxer n'est ainsi pas prescrit.</w:t>
      </w:r>
    </w:p>
    <w:p>
      <w:r>
        <w:t>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w:t>
      </w:r>
    </w:p>
    <w:p>
      <w:r>
        <w:t>Depuis la remise des bordereaux rectificatifs, la prescription a été interrompue à plusieurs reprises.</w:t>
      </w:r>
    </w:p>
    <w:p>
      <w:r>
        <w:t>- 11/13 - A/513/2008</w:t>
      </w:r>
    </w:p>
    <w:p>
      <w:r>
        <w:t>d. L’ancien droit ne prévoyait pas de prescription absolue de la créance fiscale. Dans ces cas, les délais instaurés par la nouvelle loi commencent à courir dès l’entrée en vigueur de celle-ci, le 1er janvier 2002 (ATF 126 II 1 p. 6 ; ATA/547/2001 du 28 août 2001). Le délai instauré par la LPFisc est de dix ans à compter de la fin de l’année au cours de laquelle la taxation est entrée en force. Ce délai n'est pas non plus pas échu.</w:t>
      </w:r>
    </w:p>
    <w:p>
      <w:r>
        <w:t>En conséquence, les reprises effectuées par l’AFC ne sont pas prescrites.</w:t>
      </w:r>
    </w:p>
    <w:p>
      <w:r>
        <w:rPr>
          <w:b/>
        </w:rPr>
        <w:t>E. 9</w:t>
      </w:r>
    </w:p>
    <w:p>
      <w:r>
        <w:t>Il convient d’examiner la prescription relative et absolue de l’action pénale visant à sanctionner les infractions commises.</w:t>
      </w:r>
    </w:p>
    <w:p>
      <w:r>
        <w:t>a. La LPFisc règle ces questions dès le 1er janvier 2002. S’agissant toutefois de questions de droit de fond, la LPFisc ne sera applicable, selon le principe de la lex mitior, que si elle prévoit des délais plus favorables que ceux prévus par l’ancien droit (art. 84 LPFisc ; ATA/317/2007 du 12 juin 2007).</w:t>
      </w:r>
    </w:p>
    <w:p>
      <w:r>
        <w:t>b. L’article 77 LPFisc stipule que l’action pénale se prescrit, en cas de soustraction d’impôt consommée, par dix ans à compter de la fin de la période fiscale pour laquelle la taxation n’a pas été effectuée (art. 77 a. 1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w:t>
      </w:r>
    </w:p>
    <w:p>
      <w:r>
        <w:t>c. Selon le droit en vigueur à l'époque des faits, à teneur de l’article 341A aLCP, la prescription des infractions visées aux articles 340 et 341 aLCP est de cinq ans, non compris l’année courante. Ce délai commence à courir dès la commission de l’infraction, soit en cas d’absence de déclaration dès la fin de la période fiscale pour laquelle la taxation n’a pas été effectuée et est interrompu par tout acte tendant à la poursuite de l’infraction (ATA/642/2000 du 24 octobre 2000 ; ATA G. du 6 octobre 1992 résumé dans SJ 1993 p. 569).</w:t>
      </w:r>
    </w:p>
    <w:p>
      <w:r>
        <w:t>d. S’agissant de la prescription absolue, la loi en vigueur à l’époque des faits n’en prévoyait pas et les travaux préparatoires ne l’évoquaient pas. Le tribunal de céans a toujours fait application d’un délai de prescription absolue de dix ans selon un raisonnement analogue à celui fait par le Tribunal fédéral dans l’arrêt 1P.288/1990 du 26 février 1991 (ATA/265/2007 du 22 mai 2007 et les références citées). L'amende réprimant la soustraction fiscale constituant une sanction de caractère pénal (ATF 121 II 257). Ce délai commence à courir dès la commission de l’infraction (ATA/346/2006 du 20 juin 2006 ; ATA/642/2000 précité)</w:t>
      </w:r>
    </w:p>
    <w:p>
      <w:r>
        <w:t>e. Le nouveau droit n’étant pas plus favorable, il sera fait application d’une prescription relative de cinq ans et absolue de dix ans.</w:t>
      </w:r>
    </w:p>
    <w:p>
      <w:r>
        <w:t>- 12/13 - A/513/2008</w:t>
      </w:r>
    </w:p>
    <w:p>
      <w:r>
        <w:t>En l’espèce, le délai de prescription relative concernant les infractions réalisées pendant la période fiscale 2000 a commencé à courir à la fin de cette année et a été valablement interrompu par la réception de la lettre du 6 avril 2005, soit avant l’échéance du délai de cinq ans. Quant à la prescription absolue, elle n’est pas non plus atteinte.</w:t>
      </w:r>
    </w:p>
    <w:p>
      <w:r>
        <w:rPr>
          <w:b/>
        </w:rPr>
        <w:t>E. 10</w:t>
      </w:r>
    </w:p>
    <w:p>
      <w:r>
        <w:t>En tous points mal fondé, le recours sera rejeté et un émolument de CHF 750.- mis à la charge du recourant qui succombe, en application de l’article 87 alinéa 1er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