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ATA/266/2013 vom 30. April 2013</w:t>
      </w:r>
    </w:p>
    <w:p>
      <w:r>
        <w:t>GE Cour de justice, 2013-04-30, FR</w:t>
      </w:r>
    </w:p>
    <w:p>
      <w:r>
        <w:rPr>
          <w:b/>
        </w:rPr>
        <w:t xml:space="preserve">Quelle: </w:t>
      </w:r>
      <w:r>
        <w:t>https://mcp.opencaselaw.ch/entscheid/ge_gerichte_ATA_266_2013</w:t>
      </w:r>
    </w:p>
    <w:p>
      <w:r>
        <w:t>FR: GE_GERICHTE ATA/266/2013 du 30 avril 2013</w:t>
      </w:r>
    </w:p>
    <w:p>
      <w:r>
        <w:t>IT: GE_GERICHTE ATA/266/2013 del 30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De jurisprudence constante, l’ASLOCA a qualité pour agir au sens de l’art. 45 al. 5 LDTR (ATA/143/2013 du 5 mars 2013 ; ATA/725/2012 du 30 octobre 2012 ; ATA/270/2012 du 8 mai 2012 consid. 3 ; ATA/130/2007 du 20 mars 2007 consid. 2 ; ATA/571/2006 du 31 octobre 2006 consid. 2 et les arrêts cités).</w:t>
      </w:r>
    </w:p>
    <w:p>
      <w:r>
        <w:rPr>
          <w:b/>
        </w:rPr>
        <w:t>E. 2</w:t>
      </w:r>
    </w:p>
    <w:p>
      <w:r>
        <w:t>La qualité pour défendre de de M. Kossoy sera reprise par ses héritières et le nom des parties modifié en ce sens.</w:t>
      </w:r>
    </w:p>
    <w:p>
      <w:r>
        <w:rPr>
          <w:b/>
        </w:rPr>
        <w:t>E. 3</w:t>
      </w:r>
    </w:p>
    <w:p>
      <w:r>
        <w:t>La recourante sollicite différentes mesures d'instruction, soit une audience de comparution personnelle des parties afin de vérifier le statut des appartements</w:t>
      </w:r>
    </w:p>
    <w:p>
      <w:r>
        <w:t>- 7/11 - A/9/2012 de l’immeuble en cause, l'audition du conseiller d'Etat en charge du département et - pour autant que l'on puisse comprendre la conclusion y afférente - la production par ce dernier de l'ensemble des arrêtés d'autorisation de vente relatifs à l'immeuble.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Au vu des questions juridiques à résoudre, les mesures d'instruction sollicitées ne sont pas pertinentes pour l'issue du litige, les éléments nécessaires au prononcé du présent arrêt figurant déjà au dossier. Les demandes de la recourante seront donc rejetées.</w:t>
      </w:r>
    </w:p>
    <w:p>
      <w:r>
        <w:rPr>
          <w:b/>
        </w:rPr>
        <w:t>E. 4</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constaté qu’il y a pénurie, au sens des art. 25 et 39 LDTR, dans toutes les catégories des appartements d’une à sept pièces inclusivement (Arrêtés du Conseil d’Etat déterminant les catégories</w:t>
      </w:r>
    </w:p>
    <w:p>
      <w:r>
        <w:t>- 8/11 - A/9/2012 d’appartements où sévit la pénurie en vue de l’application des art. 25 à 39 LDTR, du 27 juillet 2011 - ArAppart - L 5 20.03).</w:t>
      </w:r>
    </w:p>
    <w:p>
      <w:r>
        <w:t>En l’espèce, les appartements nos 5.01 et 7.01 comportent quatre pièces chacun et étaient respectivement jusqu’en juin 2011 et novembre 2012 sur le marché locatif. Ils entrent ainsi en raison de leur type dans la catégorie de logements où sévit la pénurie, ce qui n'est d'ailleurs pas contesté. Ils sont à ce titre soumis à autorisation d’aliéner en vertu de cette loi et la chambre de céans est compétente ratione materiae pour contrôler la conformité à la loi des opérations d'aliénation en question.</w:t>
      </w:r>
    </w:p>
    <w:p>
      <w:r>
        <w:rPr>
          <w:b/>
        </w:rPr>
        <w:t>E. 5</w:t>
      </w:r>
    </w:p>
    <w:p>
      <w:r>
        <w:t>Le département doit refuser l’autorisation lorsqu’un motif prépondérant d’intérêt public ou d’intérêt général s’y oppose. L’intérêt public et l’intérêt général résident dans le maintien, en période de pénurie de logements, de l’affectation locative des appartements loués.</w:t>
      </w:r>
    </w:p>
    <w:p>
      <w:r>
        <w:rPr>
          <w:b/>
        </w:rPr>
        <w:t>E. 6</w:t>
      </w:r>
    </w:p>
    <w:p>
      <w:r>
        <w:t>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L’hypothèse visée à la lettre a n’exige pas l’individualisation de l’appartement, mais sa soumission au régime de la PPE ou à une forme de propriété analogue dès sa construction.</w:t>
      </w:r>
    </w:p>
    <w:p>
      <w:r>
        <w:rPr>
          <w:b/>
        </w:rPr>
        <w:t>E. 7</w:t>
      </w:r>
    </w:p>
    <w:p>
      <w:r>
        <w:t>En cas de réalisation de l’une des hypothèses de l’art. 39 al. 4 LDTR, le département est tenu de délivrer l’autorisation d’aliéner (ATA/215/2013 du 9 avril 2013 consid. 7 ; ATA/784/2012 du 20 novembre 2012 consid. 7 ; ATA/725/2012 déjà cité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(ATA/784/2012 déjà cité consid. 7 ; ATA/725/2012 déjà cité consid. 8).</w:t>
      </w:r>
    </w:p>
    <w:p>
      <w:r>
        <w:t>- 9/11 - A/9/2012</w:t>
      </w:r>
    </w:p>
    <w:p>
      <w:r>
        <w:t>A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ATA/103/2011, ATA/102/2011 et ATA/101/2011 du 15 février 2011, confirmés par les Arrêts du Tribunal fédéral 1C_137/2011, 1C_139/2011, 1C_141/2011 et 1C_143/2011 du 14 juillet 2011).</w:t>
      </w:r>
    </w:p>
    <w:p>
      <w:r>
        <w:rPr>
          <w:b/>
        </w:rPr>
        <w:t>E. 8</w:t>
      </w:r>
    </w:p>
    <w:p>
      <w:r>
        <w:t>En l'espèce, selon les extraits du RF et le cahier de répartition des locaux déposé au service du cadastre en juin 1996, les appartements nos 5.01 et 7.01 ont été constitués en PPE depuis la construction de l’immeuble en 1996. Ils appartenaient, depuis le 20 juin 1996, aux membres de la société simple constituée des propriétaires actuels et de deux autres personnes, à savoir Remob et Mme Brantschen, en propriété commune. Les parts indivises de Remob, qui a fait faillite en 1997, ont été rachetées par les propriétaires actuels et Mme Brantschen en 1998. Cette dernière a quitté la société simple en 2002 et a alors vendu ses parts indivises aux cinq membres actuels de la société simple, à savoir les propriétaires intimés.</w:t>
      </w:r>
    </w:p>
    <w:p>
      <w:r>
        <w:t>Dès lors et conformément à la jurisprudence précitée, le département était tenu de délivrer l’autorisation d’aliéner.</w:t>
      </w:r>
    </w:p>
    <w:p>
      <w:r>
        <w:rPr>
          <w:b/>
        </w:rPr>
        <w:t>E. 9</w:t>
      </w:r>
    </w:p>
    <w:p>
      <w:r>
        <w:t>Les autres arguments soulevés par la recourante, en particulier le bloc que formaient les deux appartements litigieux avec cinq autres appartements du même immeuble, sont sans pertinence pour l'issue du litige, du moment que l'une des conditions alternatives de l'art. 39 al. 4 LDTR est réalisée.</w:t>
      </w:r>
    </w:p>
    <w:p>
      <w:r>
        <w:rPr>
          <w:b/>
        </w:rPr>
        <w:t>E. 10</w:t>
      </w:r>
    </w:p>
    <w:p>
      <w:r>
        <w:t>En tous points mal fondé, le recours sera rejeté.</w:t>
      </w:r>
    </w:p>
    <w:p>
      <w:r>
        <w:rPr>
          <w:b/>
        </w:rPr>
        <w:t>E. 11</w:t>
      </w:r>
    </w:p>
    <w:p>
      <w:r>
        <w:t>En l’espèce, la chambre de céans renoncera à infliger à la recourante une amende en application de l’art. 88 LPA, étant précisé que la conclusion des intimés à cet égard est irrecevable (ATA/781/2012 du 19 novembre 2012 consid. 10 ; ATA/27/2010 du 19 janvier 2010 consid. 10 ; ATA/31/2009 du 20 janvier 2009).</w:t>
      </w:r>
    </w:p>
    <w:p>
      <w:r>
        <w:rPr>
          <w:b/>
        </w:rPr>
        <w:t>E. 12</w:t>
      </w:r>
    </w:p>
    <w:p>
      <w:r>
        <w:t>Vu l'issue du litige, un émolument de CHF 1'000.- sera mis à la charge de la recourante (art. 87 al. 1 LPA). Une indemnité de procédure de CHF 2'000.- sera allouée aux intimés, pris conjointement et solidairement, à charge de la recourante, dès lors qu'ils y ont conclu et qu'ils ont eu recours aux services d'un mandataire (art. 87 al. 2 LPA).</w:t>
      </w:r>
    </w:p>
    <w:p>
      <w:r>
        <w:t>* * * * *</w:t>
      </w:r>
    </w:p>
    <w:p>
      <w:r>
        <w:t>- 10/11 - A/9/2012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