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ATA/264/2024 vom 27. Februar 2024</w:t>
      </w:r>
    </w:p>
    <w:p>
      <w:r>
        <w:t>GE Cour de justice, 2024-02-27, FR</w:t>
      </w:r>
    </w:p>
    <w:p>
      <w:r>
        <w:rPr>
          <w:b/>
        </w:rPr>
        <w:t xml:space="preserve">Quelle: </w:t>
      </w:r>
      <w:r>
        <w:t>https://mcp.opencaselaw.ch/entscheid/ge_gerichte_ATA_264_2024</w:t>
      </w:r>
    </w:p>
    <w:p>
      <w:r>
        <w:t>FR: GE_GERICHTE ATA/264/2024 du 27 février 2024</w:t>
      </w:r>
    </w:p>
    <w:p>
      <w:r>
        <w:t>IT: GE_GERICHTE ATA/264/2024 del 27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Les recourants concluent préalablement à la comparution personnelle de la recourante.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Ce droit n’empêche toutefois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 art. 41 LPA). 2.2 En l’espèce, la recourante s’est vu offrir la possibilité d’exposer sa situation et de produire toute pièce utile devant l’OCPM, le TAPI et la chambre de céans. Elle n’expose pas quels éléments au sujet des risques que son retour au D______ lui ferait subir qu’elle n’aurait pu alléguer par écrit son audition serait susceptible d’apporter. La chambre de céans considère qu’elle dispose d’un dossier complet et en état d’être jugé. Il ne sera pas donné suite à la demande de comparution personnelle. 3. L’OCPM est entré en matière sur la demande de reconsidération mais l’a rejetée.</w:t>
      </w:r>
    </w:p>
    <w:p>
      <w:r>
        <w:t>- 17/30 - A/214/2023 Dans un premier grief, la recourante se plaint de la violation des art. 14 § 1 CTEH et 4 CEDH. L’OPCM et le TAPI auraient dû lui reconnaître le statut de victime de traite d’êtres humains et lui octroyer une autorisation de séjour sur la base de ce statut. 3.1 La CTEH a notamment pour objet de protéger les droits de la personne humaine des victimes de la traite, de concevoir un cadre complet de protection et d'assistance aux victimes ainsi que d'assurer des enquêtes et des poursuites efficaces (art. 1 let. b CTEH). 3.2 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CTEH § 72). 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CTEH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2C_483/2021 du 14 décembre 2021 consid. 7.1.1 ; Rapport</w:t>
      </w:r>
    </w:p>
    <w:p>
      <w:r>
        <w:t>- 18/30 - A/214/2023 explicatif CTEH § 75 s., qui mentionne une exception, non réalisée en l'espèce, pour les enfants). 3.3 La personne étrangère qui se prétend victime de traite des êtres humains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 3.4 Conformément à l'art 14 §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3.5 En l’espèce, à l’appui d’un cas de traite d’êtres humains, la recourante se plaint principalement de « l’exploitation de la force de travail » dont elle aurait été la victime de juillet 2015 et janvier 2018 de la part de L______. Certes, elle invoque par ailleurs les violences subies par son ex-mari. Celles-ci ont toutefois été examinées par le TAPI dans son premier jugement du 29 juillet 2014, devenu définitif, et n’ont pas été jugées d’une gravité suffisante pour fonder</w:t>
      </w:r>
    </w:p>
    <w:p>
      <w:r>
        <w:t>- 19/30 - A/214/2023 l’octroi d’une autorisation ni qualifiées de traite d’êtres humains. Elles excèdent par ailleurs le cadre de la demande de reconsidération. Elle invoque également les violences qu’elle aurait subies d’K______, pour déplorer que sa plainte n’avait pas été instruite par la police de S______. Il ressort toutefois du procès-verbal de son audition du 11 mai 2015 qu’elle a confirmé déposer plainte et été interrogée sur les infractions subies. K______ a été interrogé le jour même en qualité de prévenu sur les reproches que lui adressait la recourante, qu’il a niés. Le TAPI ne lui a pas reconnu le statut de victime de la traite d’êtres humains, mais a laissé la question indécise et pour examiner et exclure la réalisation de la condition de la situation personnelle de la let. a de l’art. 14 § 1 CTEH, l’hypothèse de la collaboration avec les autorités de poursuite de la let. b n’étant par ailleurs pas invoquée. Comme l’a relevé le TAPI, les rapports et évaluations qu’elle a produits sont basés sur ses déclarations, et elle n’a fourni aucune autre preuve contre son ancien employeur L______. La recourante n’a pas allégué de recrutement par la menace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 mais a évoqué une opportunité d’embauche qui lui avait été signalée en lien avec l’ouverture d’une nouvelle enseigne. La recourante n’a pas non plus détaillé quelles formes de coercition auraient été mises en œuvre pour obtenir d’elle un travail forcé. Les épisodes de violence isolés qu’elle a allégués ne suffisent pas pour établir une contrainte permanente. Elle ne soutient pas que son passeport aurait été confisqué ni qu’elle aurait été séquestrée, enfermée ou empêchée de sortir. Son employeur a recouru à une procédure judiciaire et non à la force pour lui faire quitter son logement une fois qu’elle n’en payait plus le loyer. La recourante affirme avoir payé un loyer exagéré et perçu un salaire insuffisant (CHF 1'600.- à CHF 1'800.- net par mois) compte tenu de son horaire de travail. Ces éléments, seraient-ils prouvés, ne suffisent cependant pas non plus pour établir la traite d’êtres humains. Surtout, la plainte formée par la recourante notamment pour traite d’êtres humains et usure a été classée par le Ministère public. Certes, elle a recouru contre ce classement, mais a ensuite transigé avec L______ et son épouse et abandonné toutes ses prétentions.</w:t>
      </w:r>
    </w:p>
    <w:p>
      <w:r>
        <w:t>- 20/30 - A/214/2023 Elle explique que cet arrangement était la meilleure manière pour sauvegarder ses intérêts. Elle était toutefois assistée d’un avocat, de sorte que ses intérêts ont dû être soigneusement pesés et qu’elle n’aurait vraisemblablement pas retiré sa plainte pénale si elle avait considéré ses chances comme raisonnables – ne serait- ce que dans la perspective de pouvoir solliciter le bénéfice des protections, notamment en matière d’autorisation de séjour, que prévoit la CTEH pour les victimes de traite d’êtres humains. Le fait que la procédure ouverte par la plainte pour calomnie de L______ a été close par une ordonnance de non-entrée en matière ne change rien au fait que le classement de sa propre plainte pour traite d’êtres humains et usure, une fois devenu définitif, a la valeur d’un acquittement (art. 320 al. 4 du code de procédure pénale suisse du 5 octobre 2007 - CPP - RS 312.0). Le statut de victime de la traite d’êtres humains ne pouvant être reconnu à la recourante, le TAPI n’avait pas à examiner si la poursuite de son séjour en Suisse s’imposait au sens de l’art. 14 § 1 let. a CTEH. Il s’est ce nonobstant livré à un examen approfondi pour exclure cette hypothèse. Il sera vu plus loin, sous l’angle du cas individuel d’extrême rigueur et du renvoi, que son raisonnement est conforme au droit et n’appelle aucune critique. Le grief sera écarté. 4. Dans un second grief, la recourante se plaint de la violation de l’art. 8 CEDH. Son intégration devait lui valoir l’octroi d’une autorisation de séjour sous l’angle de la protection de la vie privée. 4.1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 4.2 En l’espèce, la recourante est arrivée en Suisse en 2010 et n’y a séjourné au bénéfice d’une autorisation qu’un an dans le cadre de son mariage. Le reste de son séjour s’est déroulé dans l’illégalité. La prolongation de son autorisation de séjour lui a été refusée et son renvoi de Suisse a été ordonné le 13 janvier 2014, mais elle ne s’est jamais conformée à cette décision. Elle affirme avoir travaillé jusqu’à la naissance de son aîné, mais elle indique également que lorsqu’elle a appris sa grossesse elle a décidé d’émarger à l’aide</w:t>
      </w:r>
    </w:p>
    <w:p>
      <w:r>
        <w:t>- 21/30 - A/214/2023 sociale, dont elle est aujourd’hui encore entièrement dépendante. Sa volonté de travailler ne lui est d’aucun secours, seule son intégration socioprofessionnelle effective devant être prise en considération. De ce point de vue, son cas diffère notablement de celui d’une jeune mère célibataire kosovare dont la chambre de céans avait admis le recours au motif qu’elle avait documenté l’hostilité du père de son enfant et de sa famille, s’était émancipée de l’aide sociale et avait réalisé des efforts d’intégration socio-professionnelle remarquables en devenant indépendante grâce à deux emplois d’enseignante (ATA/1200/2022 du 29 novembre 2022). La recourante ne soutient pas qu’elle serait investie en Suisse dans la vie associative, culturelle ou sportive. Les deux épisodes de bénévolat qu’elle fait valoir ne sont à cet égard pas significatifs. Elle a un oncle et une tante à G______ mais ne prétend pas avoir de famille ou de proches à Genève, ni de réseau d’amis. Elle n’a donné aucune information sur le père de ses enfants, sinon pour dire que la filiation n’était toujours pas établie et que celui-ci se désintéressait de sa progéniture. Elle élève seule ses enfants. Elle ne saurait dans ces conditions se prévaloir d’une intégration particulièrement intense ou réussie en Suisse, au point que son départ équivaudrait pour elle à un déracinement. Elle ne saurait par ailleurs faire valoir un risque de revictimisation sous l’angle de la traite d’êtres humains, dès lors que le statut de victime lui a à juste titre été dénié. Le grief sera écarté.</w:t>
      </w:r>
    </w:p>
    <w:p>
      <w:r>
        <w:rPr>
          <w:b/>
        </w:rPr>
        <w:t>E. 5</w:t>
      </w:r>
    </w:p>
    <w:p>
      <w:r>
        <w:t>Il faut également examiner si la recourante se trouve dans un cas individuel d’extrême gravité.</w:t>
      </w:r>
    </w:p>
    <w:p>
      <w:r>
        <w:rPr>
          <w:b/>
        </w:rPr>
        <w:t>E. 5.1</w:t>
      </w:r>
    </w:p>
    <w:p>
      <w:r>
        <w:t>Aux termes de l'art. 30 al. 1 let. b de la loi fédérale sur les étrangers et l'intégration du 16 décembre 2005 (LEI - RS 142.20), il est possible de déroger aux conditions d'admission (art. 18 à 29 LEI) notamment dans le but de tenir compte des cas individuels d'une extrême gravité ou d'intérêts publics majeurs. Selon l’art. 31 al. 1 OASA en vigueur jusqu’au 31 décembre 2018,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t>- 22/30 - A/214/2023 L'intégration professionnelle doit être exceptionnelle.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 À elles seules, la longue durée du séjour et l'intégration (travail régulier, absence de condamnations et de dépendance à l'aide sociale) ne suffisent pas pour imposer la poursuite du séjour au sens de l'art. 50 al. 1 let. b LEI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Code annoté de droit des migrations, vol. II : LEtr, 2017, p. 269 et les références citées, ad art. 30 n. 41).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w:t>
      </w:r>
    </w:p>
    <w:p>
      <w:r>
        <w:rPr>
          <w:b/>
        </w:rPr>
        <w:t>E. 5.2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C- 636/2010 du 14 décembre 2010 consid. 5.4 et la référence citée). Avec la</w:t>
      </w:r>
    </w:p>
    <w:p>
      <w:r>
        <w:t>- 23/30 - A/214/2023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ATA/656/2023 du 20 juin 2023 consid. 3.6).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 ; arrêt du Tribunal administratif fédéral F-1919/2019 du 12 juillet 2021 consid. 9.4 ; ATA/656/2023 précité consid. 3.6).</w:t>
      </w:r>
    </w:p>
    <w:p>
      <w:r>
        <w:rPr>
          <w:b/>
        </w:rPr>
        <w:t>E. 5.3</w:t>
      </w:r>
    </w:p>
    <w:p>
      <w:r>
        <w:t>En l’espèce, la recourante ne remplit pas les conditions du cas individuel d’extrême gravité. Il a été vu plus haut qu’elle peut certes se prévaloir d’un séjour en Suisse de plus de dix ans, mais que celui-ci s’est presque entièrement déroulé dans l’illégalité, si bien que sa durée doit être relativisée. Elle n’a pas respecté l’injonction de quitter la Suisse qui lui avait été notifiée en 2014, ce qui ne dénote pas le respect des lois et des institutions pouvant être attendu d’une candidate à la régularisation de son statut d’immigrante. Elle ne peut faire valoir une intégration socio-professionnelle exceptionnelle. Elle est entièrement dépendante de l’aide sociale depuis l’annonce de sa première grossesse, alors qu’elle avait auparavant travaillé – en dernier lieu au service de R______ SA à l’aéroport entre septembre 2018 et avril 2019. Elle ne soutient pas avoir acquis en Suisse une formation ou des connaissances qu’elle ne pourrait mettre à profit au D______. Elle a exposé dans son recours devant la chambre de céans ne pas être francophone, mais elle a produit une attestation de maîtrise de la langue française de niveau B1 à l'oral. Il n’est pas soutenu qu’elle aurait des dettes, des poursuites ou un casier judiciaire. Âgée de 35 ans, la recourante est encore jeune. Elle a vécu son enfance, son adolescence et le début de son âge adulte au D______, dont elle maîtrise la langue, la culture et les coutumes. Elle a quitté le D______ pour venir en Suisse en septembre 2010, alors qu’elle était âgée de 21 ans.</w:t>
      </w:r>
    </w:p>
    <w:p>
      <w:r>
        <w:t>- 24/30 - A/214/2023 Ses enfants sont encore très jeunes. Elle les a conçus alors qu’elle savait qu’elle était renvoyée et devait quitter la Suisse, aux termes d’une décision devenue définitive. Son aîné B______, né le ______ 2020, n’est pas encore en âge de scolarité. Ses fils ne sont pas encore intégrés et encore moins enracinés dans la culture suisse. Ils ne font valoir aucune relation avec leur géniteur ni d’ailleurs avec d’autres parents en Suisse et il peut être attendu d’eux qu’ils suivent leur mère au D______, où ils entameront leur scolarité. La recourante se heurtera certes à des difficultés si elle doit retourner au D______, mais celles-ci ne seront pas supérieures à celles rencontrées par ses compatriotes placées dans la même situation qu’elle. Elle a travaillé en Suisse dans la restauration et possède une certaine maîtrise de la langue française à l’oral, soit autant d’expérience qu’elle pourra faire valoir dans son pays d’origine. Elle affirme être reniée par sa famille, mais il sera vu plus loin qu’il ressort du dernier courrier de sa mère que celle-ci l’aime « de tout [s]on cœur », et que par ailleurs elle a au D______ des frères et sœurs de sa génération, dont on peut attendre qu’ils accordent un poids moindre aux traditions et aux disputes familiales et apportent à leur sœur et à ses enfants le soutien nécessaire lors de leur retour au D______. Son état de santé et celui de ses enfants ne font pas obstacle à leur retour au D______. Ils seront, avec la portée à accorder à ses allégations sur les violences qu’elle subirait ou les dangers qu’elle courrait en cas de retour au D______, examinés plus loin de manière plus approfondie, avec l’exigibilité du renvoi. Enfin, la recourante fait état de sa vulnérabilité. Il peut être observé à ce propos qu’elle a quitté deux hommes avec lesquels elle ne s’entendait pas, a conduit une procédure de divorce, a travaillé au service de plusieurs employeurs et a été indépendante, a poursuivi pénalement et civilement un employeur dont elle dénonçait le comportement avant de transiger avec lui et a eu deux enfants d’un même homme peu désireux de s’investir et dont elle s’occupe seule. Elle a de la sorte fait montre de capacités d’autonomie, de résistance et de résilience, ce qui ne porte pas à la considérer comme vulnérable.</w:t>
      </w:r>
    </w:p>
    <w:p>
      <w:r>
        <w:rPr>
          <w:b/>
        </w:rPr>
        <w:t>E. 6</w:t>
      </w:r>
    </w:p>
    <w:p>
      <w:r>
        <w:t>La recourante soulève encore plusieurs griefs – de violation des art. 10 al. 3 Cst. et 3 CEDH ; 3 CDE et 8 CEDH ; d’arbitraire et de violation du pouvoir d’appréciation – qui ont trait aux risques pour la vie et la santé qu’elle et ses enfants encourraient en retournant au D______ et qui peuvent être examinés sous l’angle du caractère licite, possible et exigible de leur renvoi.</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w:t>
      </w:r>
    </w:p>
    <w:p>
      <w:r>
        <w:t>- 25/30 - A/214/2023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6.2</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w:t>
      </w:r>
    </w:p>
    <w:p>
      <w:r>
        <w:rPr>
          <w:b/>
        </w:rPr>
        <w:t>E. 6.3</w:t>
      </w:r>
    </w:p>
    <w:p>
      <w:r>
        <w:t>Les difficultés généralement rencontrées par les mères célibataires au D______ en raison des préjugés culturels, telles que l’opprobre, la honte, la répudiation ou l’exclusion de la famille ne suffisent d’ordinaire pas selon la jurisprudence pour établir une situation d’extrême gravité dans l’examen d’un cas particulier (ATF 123 II 125 précité).</w:t>
      </w:r>
    </w:p>
    <w:p>
      <w:r>
        <w:rPr>
          <w:b/>
        </w:rPr>
        <w:t>E. 6.4</w:t>
      </w:r>
    </w:p>
    <w:p>
      <w:r>
        <w:t>En l’espèce, le TAPI a retenu sans être contredit que la symptomatologie dépressive dont elle souffrait et qui nécessitait un suivi médical ne pouvait être qualifiée de grave et ne mettait pas sa vie en danger. La recourante pourra poursuivre sa prise en charge et nouer une nouvelle alliance thérapeutique au D______, où il existe sept centres de traitements ambulatoires pour les maladies psychiques (Centres Communautaires de Santé Mentale) ainsi que des services de neuropsychiatrie pour le traitement des cas de psychiatrie aiguë au sein des hôpitaux généraux dans les villes de T______, U______, V______, W______, X______, Y______ et P______.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ATA/539/2022 du 24 mai 2022 consid. 8f ; ATA/821/2021 du 10 août 2021 consid. 3f et les arrêts cités, confirmé par arrêt du Tribunal fédéral 2C_671/2021 du 15 février 2022 consid. 8.2 et les références citées). La recourante a produit une attestation récente de l’UIMPV recommandant la poursuite des soins et indiquant qu’une interruption du processus thérapeutique et</w:t>
      </w:r>
    </w:p>
    <w:p>
      <w:r>
        <w:t>- 26/30 - A/214/2023 qu’un retour au pays serait très délétères. Cette appréciation ne change rien au fait qu’un suivi psychothérapeutique et des médicaments antidépresseurs et anxiolytiques sont disponibles au D______. Les troubles des enfants de la recourante ont déjà été traités en Suisse. Ils ne sauraient être qualifiés de graves. Selon un récent certificat produit par la recourante, B______ a porté des plâtres et « est encore suivi » pour cette problématique. Le suivi de la prise en charge des enfants pourra se poursuivre au D______, ainsi que l’a relevé le TAPI. Il reste à examiner la réalité des menaces et dangers auxquels la recourante affirme qu’elle serait exposée en cas de retour au D______, soit notamment d’être tuée par son père ou par la mère du père de ses enfants. Le TAPI avait estimé le 29 juillet 2014 qu’en tant que jeune femme divorcée, sa réintégration se heurterait à des difficultés d'ordre culturel, mais qu’elle avait vécu au D______ jusqu'à sa venue en Suisse, quatre ans auparavant, qu’elle connaissait la langue et la culture de son pays d’origine et qu’elle y bénéficiait en outre du soutien de sa famille. La recourante faisait alors déjà valoir que compte tenu de sa séparation après quelques mois seulement de vie commune, puis de son divorce, elle serait considérée comme « une pute » et toute sa famille subirait l'humiliation, et que rejetée, elle s'exposerait à de très graves conséquences. Lorsqu’elle a été interrogée par la police à S______ le 11 mai 2015, la recourante a expliqué qu’il serait bien qu’elle puisse appeler ses parents au D______, qu’il lui serait difficile de rentrer au D______ mais que ce n’était « pas non plus une vie ici » (trad.). Elle craignait qu’K______ ne mette à exécution ses menaces de s’en prendre à son frère et à elle au D______, en les faisant tuer par d’autres personnes. Le TAPI a relevé qu’elle avait indiqué à l’OCPM le 18 mai 2015 avoir été hébergée à G______ par un oncle et une tante et ajouté dans sa demande de reconsidération du 28 mai 2015 que c’était grâce à l’intervention de ses parents. Le TAPI a également relevé qu’elle avait déclaré à l’UIMPV – selon l’attestation du 26 mai 2013 (recte : 2023) portant sur un entretien du 10 mai 2023 – qu’elle avait reçu début mai 2023 des menaces de mort de la mère du père de ses enfants « en cas de retour au pays, si elle s’avisait de venir chez eux demander de l’aide dans un contexte où elle n’aurait nulle part d’autre où aller et serait à la rue avec ses deux enfants car elle serait aussi rejetée par sa propre famille ». La recourante a enfin produit un courrier de sa mère avec une traduction libre, qui commence par « ma chère fille », se termine par « je t’aime de tout mon cœur ma fille » et dont il ressort que son père ne l’acceptera plus à cause des nombreux problèmes qu’elle a rencontrés, des désaccords avec la famille, des souffrances de</w:t>
      </w:r>
    </w:p>
    <w:p>
      <w:r>
        <w:t>- 27/30 - A/214/2023 celle-ci, du fait qu’elle n’a plus revu sa famille depuis dix ans, même dans les moments les plus difficiles. Contrairement à ce que soutient la recourante, ce texte ne confirme pas que son père menacerait de la tuer ni que la tradition le contraindrait à le faire. S’il contient des reproches à une fille absente et dont la vie n’est pas approuvée, il n’évoque pas les notions de honte ou de déshonneur et ne fait état que de l’opprobre du père. Il évoque le divorce de la recourante comme l’origine de la rupture avec la famille, mais le TAPI a observé à juste titre qu’après son divorce la recourante avait justement pu compter sur l’aide de sa famille. Comme le TAPI, la chambre de céans parvient à la conclusion que la recourante n’a pas établi au degré requis de vraisemblance – par comparaison par exemple avec l’arrêt ATA/1200/2022 précité – qu’en cas de retour au D______ elle s’exposerait à un danger concret d’être tuée par son père ou sa belle-mère. C’est donc de manière conforme au droit que l’OCPM a ordonné le renvoi de la recourante et de ses enfants et refusé de leur octroyer une admission provisoire. Entièrement mal fondé, le recours sera rejeté. Vu l’issue du recours, les conclusions sur mesures provisionnelles tendant à la suspension des mesures d’exécution du renvoi sont sans objet.</w:t>
      </w:r>
    </w:p>
    <w:p>
      <w:r>
        <w:rPr>
          <w:b/>
        </w:rPr>
        <w:t>E. 7</w:t>
      </w:r>
    </w:p>
    <w:p>
      <w:r>
        <w:t>La recourante plaidant au bénéfice de l'assistance juridique, aucun émolument ne sera mis à sa charge et,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