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ATA/264/2023 vom 16. März 2023</w:t>
      </w:r>
    </w:p>
    <w:p>
      <w:r>
        <w:t>GE Cour de justice, 2023-03-16, FR</w:t>
      </w:r>
    </w:p>
    <w:p>
      <w:r>
        <w:rPr>
          <w:b/>
        </w:rPr>
        <w:t xml:space="preserve">Quelle: </w:t>
      </w:r>
      <w:r>
        <w:t>https://mcp.opencaselaw.ch/entscheid/ge_gerichte_ATA_264_2023</w:t>
      </w:r>
    </w:p>
    <w:p>
      <w:r>
        <w:t>FR: GE_GERICHTE ATA/264/2023 du 16 mars 2023</w:t>
      </w:r>
    </w:p>
    <w:p>
      <w:r>
        <w:t>IT: GE_GERICHTE ATA/264/2023 del 16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w:t>
      </w:r>
    </w:p>
    <w:p>
      <w:r>
        <w:t>2.1 Selon l’art. 10 al. 2 1ère phr. de la loi d'application de la loi fédérale sur les étrangers du 16 juin 1988 (LaLEtr - F 2 10), la chambre administrative doit statuer dans les dix jours qui suivent sa saisine. Ayant reçu le recours le 7 mars 2023 et statuant ce jour, elle respecte ce délai. 2.2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t>- 7/11 - A/550/2023 3. Le recourant invoque une constatation inexacte des faits pertinents. Son grief ne sera toutefois pas examiné plus avant, dans la mesure où il se confond en l'espèce avec une allégation de mauvaise appréciation des faits, laquelle relève du droit.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4.1 Selon l'art. 76 al. 1 let. b ch. 1 LEI, qui renvoie à l'art. 75 al. 1 let. h LEI, l'autorité compétente peut mettre en détention la personne condamnée pour crime (let. h), afin d'assurer l'exécution d’un renvoi ou d'expulsion. La notion de crime correspond à celle de l'art. 10 al. 2 du Code pénal suisse du 21 décembre 1937 (CP - RS 311.0). 4.2 À teneur de l'art. 76 al. 1 let. b ch. 1 LEI (cum art. 75 al. 1 let. c, g 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 4.3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 4.4 En l'espèce, le recourant fait l'objet d'une décision de renvoi définitive et exécutoire, et a été condamné pour crime en 2002, si bien qu'une mise en</w:t>
      </w:r>
    </w:p>
    <w:p>
      <w:r>
        <w:t>- 8/11 - A/550/2023 détention administrative est justifiée à teneur de l'art. 76 al. 1 let. b ch. 1 cum art. 75 al. 1 let. h LEI. Que la condamnation soit ancienne n'y change rien. Au surplus, la mise en détention du recourant pouvait également se fonder sur l'art. 76 al. 1 let. b ch. 3 et 4 LEI, dans la mesure où il s'est en 2014 soustrait à son transfert en Hongrie en disparaissant dans la clandestinité, où il est sans domicile connu et refuse d'indiquer son lieu de résidence, et enfin où il a confirmé à de nombreuses reprises – la dernière fois devant le TAPI – son refus catégorique de retourner au Liban. Les griefs relatifs matériellement à la légalité de la mise en détention seront dès lors écartés.</w:t>
      </w:r>
    </w:p>
    <w:p>
      <w:r>
        <w:rPr>
          <w:b/>
        </w:rPr>
        <w:t>E. 5</w:t>
      </w:r>
    </w:p>
    <w:p>
      <w:r>
        <w:t>Le recourant fait valoir que sa détention administrative viole le principe de la proportionnalité, l'exécution de son renvoi étant inexigible et des mesures de substitution devant être préférées à une détention administrative.</w:t>
      </w:r>
    </w:p>
    <w:p>
      <w:r>
        <w:rPr>
          <w:b/>
        </w:rPr>
        <w:t>E. 5.1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5.3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w:t>
      </w:r>
    </w:p>
    <w:p>
      <w:r>
        <w:t>- 9/11 - A/550/2023 collaborer de l’art. 90 al. 1 let. c LEI (ATA/1436/2017 du 27 octobre 2017 consid.6a ; ATA/881/2015 du 28 août 2015 et les références citées).</w:t>
      </w:r>
    </w:p>
    <w:p>
      <w:r>
        <w:rPr>
          <w:b/>
        </w:rPr>
        <w:t>E. 5.4</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3 LEI vise notamment l'étranger pouvant démontrer qu'il serait exposé à un traitement prohibé par l'art. 3 CEDH ou l'art. 3 de la Convention contre la torture et autres peines ou traitements cruels, inhumains ou dégradants du</w:t>
      </w:r>
    </w:p>
    <w:p>
      <w:r>
        <w:rPr>
          <w:b/>
        </w:rPr>
        <w:t>E. 5.5</w:t>
      </w:r>
    </w:p>
    <w:p>
      <w:r>
        <w:t>En l'espèce, l'intérêt public à l’exécution du refoulement du recourant est certain, celui-ci ayant notamment commis à réitérées reprises des infractions, y compris – quand bien même cette condamnation est maintenant ancienne – une infraction grave à la LStup lui ayant valu une peine de cinq ans de réclusion, mais aussi des condamnations moins graves mais plus récentes, étant précisé que la procédure pénale P/10705/2022 actuellement en cours concerne notamment des incendies intentionnels et un vol. Au vu des circonstances mentionnées plus haut – disparition dans la clandestinité dans le passé, refus d'indiquer son lieu de résidence et refus manifesté de manière constante de retourner au Liban –, le recourant ne peut être suivi lorsqu'il plaide en faveur d'une mesure de substitution à la détention, alors que l'on doit au contraire constater qu'aucune autre mesure moins incisive ne pourrait être à même d'assurer sa présence lors de son renvoi. L'impossibilité alléguée d'organiser celui-ci ne convainc pas davantage, l'autorité intimée ayant déjà démontré être en mesure de réserver un vol à destination de Beyrouth et de se procurer un laissez- passer.</w:t>
      </w:r>
    </w:p>
    <w:p>
      <w:r>
        <w:t>- 10/11 - A/550/2023 La situation au Liban, pour délétère qu'elle puisse être, n'atteint pas le degré requis par la jurisprudence pour considérer un renvoi comme illicite ou inexigible. Quant aux risques encourus par le recourant à titre personnel, les attestations produites datent de 2019 et sont des plus vagues, ne mentionnant aucun nom de personne ou de parti politique susceptibles d'en vouloir à l'intégrité du recourant. Ce dernier n'explique pas non plus comment des privés seraient en mesure de le faire emprisonner et de confisquer ses biens – dont il n'a pas davantage prouvé l'existence. Le seuil de vraisemblance de ce motif éventuel d'inexigibilité n'est ainsi pas atteint, ce d'autant plus que l'examen de ces questions ressortit avant tout au prononcé du renvoi, lequel est définitif et a fait l'objet d'un examen par la chambre de céans dans l'ATA/613/2020 du 23 juin 2020, à l'issue d'une procédure où les mêmes attestations avaient été produites. Or quoi qu'en dise le recourant, le changement de contexte procédural ne rend pas lesdites attestations plus probantes. Enfin, la durée de la détention prononcée par l'intimé et confirmée par le TAPI, soit trois mois, respecte le cadre légal fixé par l'art. 79 LEI, étant précisé qu'il n'appartient qu'à l'intéressé de mettre fin à sa détention administrative en acceptant de monter à bord du vol devant le reconduire dans son pays d'origine lorsqu’une place lui aura été réservée.</w:t>
      </w:r>
    </w:p>
    <w:p>
      <w:r>
        <w:rPr>
          <w:b/>
        </w:rPr>
        <w:t>E. 5.6</w:t>
      </w:r>
    </w:p>
    <w:p>
      <w:r>
        <w:t>Au vu de ce qui précède, il y a lieu de confirmer l'ordre de mise en détention administrative du recourant pour une durée de trois mois. 6.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r>
        <w:rPr>
          <w:b/>
        </w:rPr>
        <w:t>E. 10</w:t>
      </w:r>
    </w:p>
    <w:p>
      <w:r>
        <w:t>décembre 1984 (Conv. torture - RS 0.105 ; ATA/801/2018 7 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(ATA/1004/2021 précité ; ATA/515/2016 du 14 juin 2016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