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ATA/264/2017 vom 7. März 2017</w:t>
      </w:r>
    </w:p>
    <w:p>
      <w:r>
        <w:t>GE Cour de justice, 2017-03-07, FR</w:t>
      </w:r>
    </w:p>
    <w:p>
      <w:r>
        <w:rPr>
          <w:b/>
        </w:rPr>
        <w:t xml:space="preserve">Quelle: </w:t>
      </w:r>
      <w:r>
        <w:t>https://mcp.opencaselaw.ch/entscheid/ge_gerichte_ATA_264_2017</w:t>
      </w:r>
    </w:p>
    <w:p>
      <w:r>
        <w:t>FR: GE_GERICHTE ATA/264/2017 du 7 mars 2017</w:t>
      </w:r>
    </w:p>
    <w:p>
      <w:r>
        <w:t>IT: GE_GERICHTE ATA/264/2017 del 7 marzo 2017</w:t>
      </w:r>
    </w:p>
    <w:p>
      <w:pPr>
        <w:pStyle w:val="Heading2"/>
      </w:pPr>
      <w:r>
        <w:t>Erwägungen</w:t>
      </w:r>
    </w:p>
    <w:p>
      <w:r>
        <w:rPr>
          <w:b/>
        </w:rPr>
        <w:t>E. 1</w:t>
      </w:r>
    </w:p>
    <w:p>
      <w:r>
        <w:t>Interjeté en temps utile devant la juridiction compétente, le recours est recevable sous cet angle (art. 60 du règlement sur le régime intérieur de la prison</w:t>
      </w:r>
    </w:p>
    <w:p>
      <w:r>
        <w:t>- 5/10 - A/1071/2016 et le statut des personnes incarcérées du 30 septembre 1985 - RRIP - F 1 50.04 ;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cette situation pourrait encore se présenter (ATA/1007/2016 du 29 novembre 2016 consid. 2e et la jurisprudence citée), dès lors qu’il n’a pas quitté la prison à ce jour.</w:t>
      </w:r>
    </w:p>
    <w:p>
      <w:r>
        <w:t>Le recours est donc recevable à tous points de vue.</w:t>
      </w:r>
    </w:p>
    <w:p>
      <w:r>
        <w:rPr>
          <w:b/>
        </w:rPr>
        <w:t>E. 3</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w:t>
      </w:r>
    </w:p>
    <w:p>
      <w:r>
        <w:t>- 6/10 - A/1071/2016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(ATA/73/2017 du 31 janvier 2017 consid. 5b ; ATA/309/2016 du 12 avril 2016 consid. 5b ; ATA/972/2015 du 22 septembre 2015 consid. 2).</w:t>
      </w:r>
    </w:p>
    <w:p>
      <w:r>
        <w:t>c. La sanction doit être conforme au principe de la proportionnalité (ATA/309/2016 précité consid. 6).</w:t>
      </w:r>
    </w:p>
    <w:p>
      <w:r>
        <w:t>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w:t>
      </w:r>
    </w:p>
    <w:p>
      <w:r>
        <w:rPr>
          <w:b/>
        </w:rPr>
        <w:t>E. 4</w:t>
      </w:r>
    </w:p>
    <w:p>
      <w:r>
        <w:t>Le statut des personnes incarcérées à la prison est régi par le RRIP (art. 1 al. 3 de la loi sur l’organisation et le personnel de la prison du 21 juin 1984 - LOPP - F 1 50).</w:t>
      </w:r>
    </w:p>
    <w:p>
      <w:r>
        <w:t>L’art. 44 RRIP dispose qu’en toute circonstance, les détenus doivent observer une attitude correcte à l’égard du personnel de la prison, des autres personnes incarcérées et des tiers.</w:t>
      </w:r>
    </w:p>
    <w:p>
      <w:r>
        <w:t>Conformément à l’art. 45 RRIP, il est interdit aux détenus notamment : a) de faire du bruit ; b) de communiquer sans droit avec d’autres détenus ou avec l’extérieur ; e) de détenir d’autres objets que ceux qui leur sont remis ; f) d’introduire ou de faire introduire dans l’établissement d’autres objets que ceux autorisés par le directeur ; g) de sortir des locaux de travail des outils, des</w:t>
      </w:r>
    </w:p>
    <w:p>
      <w:r>
        <w:t>- 7/10 - A/1071/2016 ustensiles, des matériaux ou des marchandises ; h) d’une façon générale, de troubler l’ordre et la tranquillité de l’établissement.</w:t>
      </w:r>
    </w:p>
    <w:p>
      <w:r>
        <w:t>Selon l’art. 46 RRIP, en tout temps, la direction peut ordonner des fouilles corporelles et une inspection des locaux.</w:t>
      </w:r>
    </w:p>
    <w:p>
      <w:r>
        <w:t>Aux termes de l’art. 47 RRIP, si un détenu enfreint le présent règlement, une sanction proportionnée à sa faute, ainsi qu’à la nature et à la gravité de l’infraction, lui est infligée (al. 1) ; avant le prononcé de la sanction, le détenu doit être informé des faits qui lui sont reprochés et être entendu (al. 2) ;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(al. 3) ; les sanctions prévues à l’al. 3 let. a à f peuvent être cumulées (al. 4).</w:t>
      </w:r>
    </w:p>
    <w:p>
      <w:r>
        <w:rPr>
          <w:b/>
        </w:rPr>
        <w:t>E. 5</w:t>
      </w:r>
    </w:p>
    <w:p>
      <w:r>
        <w:t>a. En l’espèce, il est tout d’abord incontesté qu’un rasoir modifié en arme a été découvert par les gardiens, lors d’une fouille complète le 7 mars 2016 de la cellule qu’occupait le recourant avec un codétenu, plus précisément sur le conduit situé sous le lavabo de la cellule.</w:t>
      </w:r>
    </w:p>
    <w:p>
      <w:r>
        <w:t>L’intéressé conteste avoir détenu cet objet et même avoir eu connaissance de son existence.</w:t>
      </w:r>
    </w:p>
    <w:p>
      <w:r>
        <w:t>Il ressort toutefois des explications du directeur de la prison, convaincantes sur ce point, que des fouilles sommaires et des fouilles avec démontage du mobilier avaient été effectuées dans la cellule du recourant et de son codétenu et que l’endroit où ledit rasoir avait été trouvé était fréquemment et facilement vérifié, au même titre que les différents écoulements de la salle d’eau. Dans sa réplique, le recourant n’a pas contesté ces assertions, dont il ressort que sa cellule, y compris sous le lavabo, avait selon toute probabilité déjà été fouillée auparavant et alors qu’il y était déjà présent ou juste avant son entrée dans ladite cellule.</w:t>
      </w:r>
    </w:p>
    <w:p>
      <w:r>
        <w:t>Il convient donc de retenir que le rasoir modifié en arme a été introduit dans la cellule à une période à laquelle le recourant y résidait, qu’il devait donc en connaître l’existence et l’emplacement et qu’il en était le détenteur avec son codétenu, lequel a également été sanctionné pour ce fait. Il ne s’agit donc pas d’une sanction collective.</w:t>
      </w:r>
    </w:p>
    <w:p>
      <w:r>
        <w:t>Partant, les conditions d’application de l’art. 45 let. e et f RRIP, relatives à la détention, respectivement l’introduction d’objets non autorisés, sont réalisées.</w:t>
      </w:r>
    </w:p>
    <w:p>
      <w:r>
        <w:t>b. Compte tenu de la dangerosité incontestable de l’objet en cause, ainsi que d’une comparaison avec un cas dans lequel une sanction de cinq jours de cellule forte a été jugée proportionnée pour la détention d’un téléphone portable</w:t>
      </w:r>
    </w:p>
    <w:p>
      <w:r>
        <w:t>- 8/10 - A/1071/2016 (ATA/183/2013 du 19 mars 2013), la mise en cellule forte du recourant pendant trois jours apparaît conforme au principe de la proportionnalité.</w:t>
      </w:r>
    </w:p>
    <w:p>
      <w:r>
        <w:rPr>
          <w:b/>
        </w:rPr>
        <w:t>E. 6</w:t>
      </w:r>
    </w:p>
    <w:p>
      <w:r>
        <w:t>janvier 2015).</w:t>
      </w:r>
    </w:p>
    <w:p>
      <w:r>
        <w:t>Dans le cas présent, le refus d’obtempérer, l’agressivité des propos tenus et de leur ton, de même que la menace résultant du bout de phrase « je vais en buter un », liée au refus de retourner dans la cellule, auxquels s’ajoutaient les antécédents du recourant, permettaient, sous l’angle du principe de la proportionnalité, le prononcé d’une sanction de trois jours de cellule forte. Des éventuels sentiments de claustrophobie et d’angoisse ne pouvaient pas justifier le comportement de l’intéressé.</w:t>
      </w:r>
    </w:p>
    <w:p>
      <w:r>
        <w:t>- 9/10 - A/1071/2016</w:t>
      </w:r>
    </w:p>
    <w:p>
      <w:r>
        <w:rPr>
          <w:b/>
        </w:rPr>
        <w:t>E. 7</w:t>
      </w:r>
    </w:p>
    <w:p>
      <w:r>
        <w:t>En définitive, les décisions querellées étant conformes au droit, le recours sera rejeté.</w:t>
      </w:r>
    </w:p>
    <w:p>
      <w:r>
        <w:t>Vu la nature du litige et le fait que le recourant plaide à l’assistance juridique, aucun émolument ne sera perçu (art. 87 al. 1 LPA ; art. 12 al. 1 et 13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