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ATA/263/2024 vom 27. Februar 2024</w:t>
      </w:r>
    </w:p>
    <w:p>
      <w:r>
        <w:t>GE Cour de justice, 2024-02-27, FR</w:t>
      </w:r>
    </w:p>
    <w:p>
      <w:r>
        <w:rPr>
          <w:b/>
        </w:rPr>
        <w:t xml:space="preserve">Quelle: </w:t>
      </w:r>
      <w:r>
        <w:t>https://mcp.opencaselaw.ch/entscheid/ge_gerichte_ATA_263_2024</w:t>
      </w:r>
    </w:p>
    <w:p>
      <w:r>
        <w:t>FR: GE_GERICHTE ATA/263/2024 du 27 février 2024</w:t>
      </w:r>
    </w:p>
    <w:p>
      <w:r>
        <w:t>IT: GE_GERICHTE ATA/263/2024 del 27 febbraio 2024</w:t>
      </w:r>
    </w:p>
    <w:p>
      <w:pPr>
        <w:pStyle w:val="Heading2"/>
      </w:pPr>
      <w:r>
        <w:t>Erwägungen</w:t>
      </w:r>
    </w:p>
    <w:p>
      <w:r>
        <w:rPr>
          <w:b/>
        </w:rPr>
        <w:t>E. 1</w:t>
      </w:r>
    </w:p>
    <w:p>
      <w:r>
        <w:t>Interjeté en temps utile – quelle que soit la date de la notification de la décision querellée retenue –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la comparution personnelle des parties. Bien qu’elle n’y conclue pas formellement, elle cite par ailleurs dans ses écritures l’audition de témoins à titre de preuve.</w:t>
      </w:r>
    </w:p>
    <w:p>
      <w:r>
        <w:rPr>
          <w:b/>
        </w:rPr>
        <w:t>E. 2.1</w:t>
      </w:r>
    </w:p>
    <w:p>
      <w:r>
        <w:t>Tel qu'il est garanti par l'art. 29 al. 2 de la Constitution fédérale de la Confédération suisse du 18 avril 1999 (Cst. - RS 101), le droit d'être entendu comprend notamment le droit pour l'intéressée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w:t>
      </w:r>
    </w:p>
    <w:p>
      <w:r>
        <w:t>- 5/11 - A/3355/2023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la recourante a eu l’occasion d’expliquer son point de vue dans sa réclamation, puis son recours et sa réplique. Elle a pu produire toute pièce qu’elle estimait utile. Elle n’explique, en outre, ni quels éléments complémentaires à ceux déjà exposés l’audition de l’un de ses représentants pourrait apporter. Il en va de même concernant l’audition de témoins, étant relevé qu’elle n’a pas même indiqué le nom des personnes qu’il conviendrait d’entendre. Enfin, la chambre administrative dispose d’un dossier complet qui lui permet de trancher le litige en connaissance de cause. Au vu de ce qui précède, il ne sera pas ordonné d’autres actes d’instruction.</w:t>
      </w:r>
    </w:p>
    <w:p>
      <w:r>
        <w:rPr>
          <w:b/>
        </w:rPr>
        <w:t>E. 3</w:t>
      </w:r>
    </w:p>
    <w:p>
      <w:r>
        <w:t>Dans un premier grief d’ordre formel, la recourante se plaint de la violation de son droit d’être entendue pour défaut de motivation.</w:t>
      </w:r>
    </w:p>
    <w:p>
      <w:r>
        <w:rPr>
          <w:b/>
        </w:rPr>
        <w:t>E. 3.1</w:t>
      </w:r>
    </w:p>
    <w:p>
      <w:r>
        <w:t>Le droit d'être entendu, tel que garanti par l’art. 29 Cst., implique notamment pour l'autorité l'obligation de motiver sa décision.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La motivation peut d'ailleurs être implicite et résulter des différents considérants de la décision (ATF 141 V 557 consid. 3.2.1 ; arrêt du Tribunal fédéral 1C_56/2019 du 14 octobre 2019 consid. 2.4.1).</w:t>
      </w:r>
    </w:p>
    <w:p>
      <w:r>
        <w:rPr>
          <w:b/>
        </w:rPr>
        <w:t>E. 3.2</w:t>
      </w:r>
    </w:p>
    <w:p>
      <w:r>
        <w:t>En l’espèce, l’autorité intimée a exposé, dans la décision querellée, que les conventions d’octroi de l’aide et le courrier d’information y relatif indiquaient que le calcul de la participation au bénéfice se ferait sur la base du résultat 2021 tel que déterminé par la loi fiscale. Elle s’était ainsi fondée sur les bordereaux de taxation 2020 et 2021. En examinant l’argument soulevé, le département a ainsi satisfait à son obligation de motiver sa décision sur réclamation. Contrairement à ce que fait valoir la recourante, l’autorité n’était pas tenue d’examiner tous les griefs invoqués, étant habilitée à ne répondre qu’à ceux qu’elle estimait pertinents. En invoquant les dispositions sur lesquelles elle se fondait, elle a, au demeurant, implicitement répondu au grief relatif à l’interprétation prétendument contraire à l’esprit de la loi. Si, certes, elle n’a pas repris ses calculs dans sa décision sur réclamation, son argumentation répondait au grief de la réclamante qui ne contestait pas les chiffres</w:t>
      </w:r>
    </w:p>
    <w:p>
      <w:r>
        <w:t>- 6/11 - A/3355/2023 retenus dans la décision du 7 juin 2023, mais la méthode appliquée. Au vu du recours circonstancié de 74 pages formé par la recourante, il apparaît, au demeurant, qu’elle a parfaitement compris le raisonnement du département et pu, en connaissance de cause, contester la décision attaquée. Enfin, quand bien même il conviendrait d’admettre une violation du devoir de motiver, une telle violation aurait été réparée devant la chambre administrative, l’autorité intimée ayant exposé son analyse et répondu aux griefs de la recourante. Le grief sera donc écarté.</w:t>
      </w:r>
    </w:p>
    <w:p>
      <w:r>
        <w:rPr>
          <w:b/>
        </w:rPr>
        <w:t>E. 4</w:t>
      </w:r>
    </w:p>
    <w:p>
      <w:r>
        <w:t>La recourante se plaint de ce que la base légale relative à l’année comptable déterminante pour la prise en compte de la participation au bénéfice était insuffisante. Ce n’était que dans le commentaire de l’ordonnance du 17 décembre 2021 que cette notion avait été précisée. Or, un commentaire ne pouvait remplacer une base légale, d’une part. D’autre part, il n’était pas admissible de retenir la notion « année » tantôt à l’aune du bénéfice imposable, tantôt au regard de l’aide perçue.</w:t>
      </w:r>
    </w:p>
    <w:p>
      <w:r>
        <w:rPr>
          <w:b/>
        </w:rPr>
        <w:t>E. 4.1</w:t>
      </w:r>
    </w:p>
    <w:p>
      <w:r>
        <w:t>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w:t>
      </w:r>
    </w:p>
    <w:p>
      <w:r>
        <w:rPr>
          <w:b/>
        </w:rPr>
        <w:t>E. 4.2</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w:t>
      </w:r>
    </w:p>
    <w:p>
      <w:r>
        <w:t>- 7/11 - A/3355/2023 26 consid. 3.3 ; arrêt du Tribunal fédéral 2C_38/2021 du 3 mars 2021 consid. 3.2.1). Le 25 septembre 2020, l’Assemblée fédérale a adopté la loi fédérale sur les bases légales des ordonnances du Conseil fédéral visant à surmonter l’épidémie de Covid-19 (loi Covid-19 - RS 818.102), qui prévoit, à son art. 12, des mesures destinées aux entreprises.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1er octobre 2020, avaient leur siège dans le canton à cette date, sont particulièrement touchées par les conséquences de l’épidémie de Covid- 19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verse aux cantons une participation financière à hauteur de 100 % des mesures pour les cas de rigueur qu’ils destinent aux entreprises réalisant un CA annuel de plus de CHF 5'000'000.- (al. 1quater let. b), le Conseil fédéral édictant, les concernant, des dispositions particulières (al. 1quinquies).</w:t>
      </w:r>
    </w:p>
    <w:p>
      <w:r>
        <w:rPr>
          <w:b/>
        </w:rPr>
        <w:t>E. 4.4</w:t>
      </w:r>
    </w:p>
    <w:p>
      <w:r>
        <w:t>L’art. 12 al. 1septies loi Covid-19, applicable jusqu’au 31 décembre 2021, prévoyait que les entreprises ayant un chiffre d’affaires de plus de CHF 5'000'000.- qui, durant l’année où une contribution non remboursable leur était octroyée, réalisaient un bénéfice annuel imposable au sens des art. 58 à 67 de la loi fédérale du 14 décembre 1990 sur l’impôt fédéral direct (LIFD - RS 642.11), le transféraient au canton compétent, ce toutefois au maximum à concurrence du montant de la contribution perçue. Le canton transférait 95 % des fonds reçus à la Confédération. Le Conseil fédéral réglait les modalités, notamment la prise en compte des pertes de l’année précédente et le mode d’inscription comptable.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1er octobre 2020. Comme la Confédération finançait intégralement lesdites contributions, elle pouvait imposer aux cantons des</w:t>
      </w:r>
    </w:p>
    <w:p>
      <w:r>
        <w:t>- 8/11 - A/3355/2023 règlements concernant les conditions d’éligibilité et le calcul des aides correspondantes aux fins d’éviter toute inégalité de traitement entre les entreprises (p. 20).</w:t>
      </w:r>
    </w:p>
    <w:p>
      <w:r>
        <w:rPr>
          <w:b/>
        </w:rPr>
        <w:t>E. 4.5</w:t>
      </w:r>
    </w:p>
    <w:p>
      <w:r>
        <w:t>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S’agissant des exigences relatives à la forme des mesures pour les cas de rigueur, l’art. 8b ordonnance Covid-19 avait trait au calcul des contributions non remboursables pour les entreprises dont le CA était supérieur à CHF 5'000'000.-. L’ordonnance Covid-19, dans sa teneur applicable à la présente espèce, à savoir jusqu’au 31 décembre 2021, prévoit que les cantons demandent aux entreprises dont le chiffre d’affaires annuel est supérieur à CHF 5'000'000.- au moins les « comptes annuels », soit le bilan, le compte de résultats et son annexe, les comptes annuels révisés si l’entreprise est assujettie à l’obligation de révision (art. 8f let. c) ainsi que la ventilation complète par secteur si une délimitation claire des domaines d’activité au moyen d’une comptabilité par secteur est alléguée (art. 8f let. d). Selon l’art. 8b al. 2 ordonnance Covid-19, applicable jusqu’au 31 décembre 2021, les entreprises qui ont enregistré un recul du chiffre d’affaires pendant plus de douze mois peuvent ajouter le recul du chiffre d’affaires pour les mois de janvier à juin 2021 si ceux-ci ne sont pas déjà pris en compte dans le calcul visé à l’art. 5; le recul du chiffre d’affaires est calculé par rapport au chiffre d’affaires moyen des périodes correspondantes pour les exercices 2018 et 2019. L’art. 8e ordonnance Covid-19, tel qu’applicable au cas d’espèce avait le titre « base déterminante pour la participation conditionnelle aux bénéfices pour les entreprises dont le chiffre d’affaires annuel est supérieur à 5 millions de francs ». Il prévoyait que « le bénéfice annuel imposable de 2021 avant compensation des pertes au sens des art. 58 à 67 de la loi fédérale du 14 décembre 1990 sur l’impôt fédéral direct19 est déterminant pour calculer la participation conditionnelle aux bénéfices visée à l’art. 12 al. 1septies de la loi Covid-19 du 25 septembre 2020. Seule une perte subie au cours de l’exercice 2020 déterminante sur le plan fiscal peut être déduite du bénéfice annuel imposable ».</w:t>
      </w:r>
    </w:p>
    <w:p>
      <w:r>
        <w:rPr>
          <w:b/>
        </w:rPr>
        <w:t>E. 4.6</w:t>
      </w:r>
    </w:p>
    <w:p>
      <w:r>
        <w:t>Aux termes du commentaire de l’ordonnance Covid-19 établi le 18 juin 2021 par l’administration fédérale des finances (ci-après : AFF), ladite ordonnance comportait une série de prescriptions contraignantes concernant les conditions d’éligibilité, le calcul des contributions, les plafonds applicables, les prestations propres, la participation aux bénéfices, les justificatifs et le traitement des prêts,</w:t>
      </w:r>
    </w:p>
    <w:p>
      <w:r>
        <w:t>- 9/11 - A/3355/2023 cautionnements et garanties s’agissant des entreprises dont le chiffre d’affaires annuel dépassait CHF 5'000'000.-, que le cantons devaient reprendre sans y déroger, afin qu’une réglementation uniforme s’applique dans l’ensemble du pays, les grandes entreprises exerçant souvent leurs activités dans différents cantons (p. 3).</w:t>
      </w:r>
    </w:p>
    <w:p>
      <w:r>
        <w:rPr>
          <w:b/>
        </w:rPr>
        <w:t>E. 4.7</w:t>
      </w:r>
    </w:p>
    <w:p>
      <w:r>
        <w:t>En l’espèce, selon l’art. 12 al. 1septies de la loi Covid-19, les entreprises ayant un chiffre d’affaires de plus de CHF 5'000'000.- qui avaient bénéficié d’une aide pour cas de rigueur et réalisé un « bénéfice annuel imposable au sens des art. 58 à 67 LIFD », devaient le transférer au canton compétent, au maximum à concurrence du montant de l’aide perçue. Ainsi et contrairement à ce que soutient la recourante, la loi expose comment le « bénéfice annuel » à prendre en considération doit être déterminé. Le législateur a expressément chargé le Conseil fédéral de « régler les modalités, notamment la prise en compte des pertes de l’année précédente et le mode d’inscription comptable ». L’exécutif s’est conformé à ce mandat en adoptant l’art. 8e de l’ordonnance Covid-19, qui fixait la « base déterminante pour la participation conditionnelle aux bénéfices pour les entreprises dont le chiffre d’affaires annuel est supérieur à 5 millions de francs ». Cette disposition prévoit que le bénéfice annuel imposable de 2021 avant compensation des pertes au sens des art. 58 à 67 LIFD est déterminant pour calculer la participation conditionnelle aux bénéfices visée à l’art. 12 al. 1septies loi Covid-19 et que « seule une perte subie au cours de l’exercice 2020 déterminante sur le plan fiscal » peut être déduite du bénéfice annuel imposable. Il n’est pas litigieux que la recourante a réalisé, selon ses avis de taxation, un bénéfice de CHF 179'960.- en 2020 et de CHF 52'262.- en 2021. Il n’est pas non plus contesté qu’elle a perçu une aide de CHF 250'000.- par décision du 18 décembre 2020, de CHF 500'000.- par décision du 18 mars 2021 et de CHF 6'240'967.30 par décision du 14 juillet 2021 et de 1'498'554.70 par décision du 25 mars 2022, soit au total pour les années 2020 et 2021, la somme de CHF 8'489'522.-. Les sommes de CHF 250'000.-, CHF 500'000.- et de CHF 4'376'155.- ont été comptabilisées par la recourante dans ses comptes 2021. Selon l’art. 8e de l’ordonnance Covid-19, seule la perte subie au cours de l’exercice fiscal 2020 pouvait être prise en compte. L’éventuelle perte subie en 2022 n’avait ainsi pas à être prise en considération pour déterminer si une sur- indemnisation avait eu lieu en 2021. Or, en 2020, la société avait réalisé un bénéfice. Ainsi, en déduisant les aides étatiques comptabilisées par la recourante dans ses comptes 2021 d’au total CHF 5'126'155.- (CHF 250'000.- + CHF 500'000.- + CHF 4'376'155.-), celle-ci a subi, durant l’exercice 2021, une perte de CHF 5'073'893.-. Afin d’éviter sa surindemnisation pour l’année en question, seul ce montant devait donner lieu à l’aide étatique fondée sur la loi Covid-19. Partant, elle doit rembourser tout montant dépassant cette somme. Ayant perçu au total</w:t>
      </w:r>
    </w:p>
    <w:p>
      <w:r>
        <w:t>- 10/11 - A/3355/2023 CHF 8'489'552.- pour 2021, le trop-perçu se monte à CHF 3'415'629.- (CHF 8'489'552.- – CHF 5'073'893.-). Contrairement à ce que soutient la recourante, la réglementation ne consacre aucune inégalité de traitement entre les entreprises dont l’année fiscale se termine au 31 décembre et celles – comme la recourante – dont l’année fiscale se termine à une autre date. En effet, les éventuelles pertes enregistrées par les sociétés dont l’exercice fiscal ne coïncide pas avec l’année civile sont prises en compte dans le calcul du bénéfice de l’année suivante puisque le point de départ, à savoir l’exercice fiscal, est le même. Par ailleurs, comme cela vient d’être exposé, l’art. 8e de l’ordonnance Covid-19 est conforme à l’art. 12 al. 1septies de la loi Covid-19. Ainsi, même si cette dernière disposition ne respectait pas le principe de l’égalité de traitement, ce seul constat ne permettrait pas de s’écarter de sa teneur, les tribunaux étant tenus d’appliquer les lois fédérales (art. 190 Cst.). Si, certes, un système différent aurait pu être mis en place, comme celui préconisé par l’auteur de doctrine cité par la recourante, il n’en demeure pas moins que celui choisi par le législateur et mis en exécution par le Conseil fédéral tend à traiter de la même manière les sociétés se trouvant dans des situations comparables. Enfin, rien ne s’oppose à ce que la recourante approche l’autorité intimée afin de convenir de modalités de remboursement, qui tiennent compte de sa situation financière et soient acceptables pour le département. Mal fondé, le recours sera rejeté. 5. Vu l’issue du litige, un émolument de CHF 500.- sera mis à la charge de la recourante, qui ne peut se voir allouer d’indemnité de procédure. Il n’y a pas lieu à l’allocation d’une indemnité de procédure en faveur de l’État, celui-ci disposant de son propre service juridique.</w:t>
      </w:r>
    </w:p>
    <w:p>
      <w:r>
        <w:t>* * * * *</w:t>
      </w:r>
    </w:p>
    <w:p>
      <w:r>
        <w:rPr>
          <w:b/>
        </w:rPr>
        <w:t>E. 7</w:t>
      </w:r>
    </w:p>
    <w:p>
      <w:r>
        <w:t>juillet 2022 consid. 7.1).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Il importe en effet que l'autorité exécutive ne dispose pas d'une marge de manœuvre excessive et que les citoyens puissent cerner les contours de la contribution qui pourra être prélevée sur cette base (ATF 144 II 454 consid. 3.4 ; 143 I 227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