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ATA/260/2016 vom 22. März 2016</w:t>
      </w:r>
    </w:p>
    <w:p>
      <w:r>
        <w:t>GE Cour de justice, 2016-03-22, FR</w:t>
      </w:r>
    </w:p>
    <w:p>
      <w:r>
        <w:rPr>
          <w:b/>
        </w:rPr>
        <w:t xml:space="preserve">Quelle: </w:t>
      </w:r>
      <w:r>
        <w:t>https://mcp.opencaselaw.ch/entscheid/ge_gerichte_ATA_260_2016</w:t>
      </w:r>
    </w:p>
    <w:p>
      <w:r>
        <w:t>FR: GE_GERICHTE ATA/260/2016 du 22 mars 2016</w:t>
      </w:r>
    </w:p>
    <w:p>
      <w:r>
        <w:t>IT: GE_GERICHTE ATA/260/2016 del 22 marzo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 questions de savoir si la lettre du directeur de la prison du 28 août 2015 constituait un acte attaquable – décision au sens de l’art. 4 de la loi sur la procédure administrative du 12 septembre 1985 (LPA - E 5 10) – et si le délai de recours (art. 62 LPA) a été respecté, ou si M. A______ a recouru pour déni de justice (art. 4 al. 4 et 62 al. 6 LPA) peuvent demeurer indécises, pour les motifs qui suivent.</w:t>
      </w:r>
    </w:p>
    <w:p>
      <w:r>
        <w:rPr>
          <w:b/>
        </w:rPr>
        <w:t>E. 2</w:t>
      </w:r>
    </w:p>
    <w:p>
      <w:r>
        <w:t>Les parties sont tenues de collaborer à la constatation des faits dans les procédures qu’elles introduisent elles-mêmes (art. 22 LPA).</w:t>
      </w:r>
    </w:p>
    <w:p>
      <w:r>
        <w:t>- 4/5 - A/3730/2015</w:t>
      </w:r>
    </w:p>
    <w:p>
      <w:r>
        <w:t>En cas de défaut de collaboration, la chambre administrative peut prononcer l’irrecevabilité de leurs actes (ATA/166/2016 du 23 février 2016 ; ATA/371/2014 du 20 mai 2014 ainsi que la jurisprudence citée).</w:t>
      </w:r>
    </w:p>
    <w:p>
      <w:r>
        <w:rPr>
          <w:b/>
        </w:rPr>
        <w:t>E. 3</w:t>
      </w:r>
    </w:p>
    <w:p>
      <w:r>
        <w:t>En l’espèce, M. A______ a saisi le Tribunal fédéral d’un acte expédié le 19 octobre 2015, que celui-ci a transmis à la chambre administrative. La prison a, le 25 novembre 2015, rendu une décision sujette à recours portant sur le même objet que sa lettre du 28 août 2015 et l’acte de M. A______ du 19 octobre 2015. Malgré les deux demandes de la chambre administrative indiquant notamment que l’absence de nouvelle conduirait à la radiation du rôle, respectivement à l’irrecevabilité de son acte du 19 octobre 2015, M. A______ ne s’est pas manifesté et n’a en particulier pas indiqué s’il entendait maintenir ou non ledit acte.</w:t>
      </w:r>
    </w:p>
    <w:p>
      <w:r>
        <w:t>Dans ces circonstances, le recours sera déclaré irrecevable.</w:t>
      </w:r>
    </w:p>
    <w:p>
      <w:r>
        <w:rPr>
          <w:b/>
        </w:rPr>
        <w:t>E. 4</w:t>
      </w:r>
    </w:p>
    <w:p>
      <w:r>
        <w:t>Vu la nature du litige, aucun émolument ne sera perçu (art. 87 al. 1 LPA ; art. 12 al. 1 du règlement sur les frais, émoluments et indemnités en procédure administrative du 30 juillet 1986 - RFPA - E 5 10.03). Aucune indemnité de procédure ne sera allouée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