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ATA/258/2014 vom 15. April 2014</w:t>
      </w:r>
    </w:p>
    <w:p>
      <w:r>
        <w:t>GE Cour de justice, 2014-04-15, FR</w:t>
      </w:r>
    </w:p>
    <w:p>
      <w:r>
        <w:rPr>
          <w:b/>
        </w:rPr>
        <w:t xml:space="preserve">Quelle: </w:t>
      </w:r>
      <w:r>
        <w:t>https://mcp.opencaselaw.ch/entscheid/ge_gerichte_ATA_258_2014</w:t>
      </w:r>
    </w:p>
    <w:p>
      <w:r>
        <w:t>FR: GE_GERICHTE ATA/258/2014 du 15 avril 2014</w:t>
      </w:r>
    </w:p>
    <w:p>
      <w:r>
        <w:t>IT: GE_GERICHTE ATA/258/2014 del 15 aprile 2014</w:t>
      </w:r>
    </w:p>
    <w:p>
      <w:pPr>
        <w:pStyle w:val="Heading2"/>
      </w:pPr>
      <w:r>
        <w:t>Regeste</w:t>
      </w:r>
    </w:p>
    <w:p>
      <w:r>
        <w:t>Résumé: Révocation contraire au droit dans le cadre d'une altercation verbale puis physique entre collègues. Le comportement de l'intéressé, remis dans son contexte, n'est pas de nature à justifier une révocation, laquelle est disproportionnée. Doit être pris en compte l'état de légitime défense putative établie par le juge pénal, dont il n'y a pas lieu de s'écarter. La conclusion visant à la réintégration incluant de par la loi celle au versement d'une indemnité, il n'y a pas lieu en l'espèce de retenir les conclusions chiffrées prises en cours de procédure mais bien celles portant sur le maximum prévu par la loi. La réintégration n'étant pas possible, suite au refus des intimés, une indemnité fixée à douze mois du dernier traitement brut au sens de l'art. 2 LTrait est fixée.</w:t>
      </w:r>
    </w:p>
    <w:p>
      <w:pPr>
        <w:pStyle w:val="Heading2"/>
      </w:pPr>
      <w:r>
        <w:t>Erwägungen</w:t>
      </w:r>
    </w:p>
    <w:p>
      <w:r>
        <w:rPr>
          <w:b/>
        </w:rPr>
        <w:t>E. 21</w:t>
      </w:r>
    </w:p>
    <w:p>
      <w:r>
        <w:t>let. a statut). En outre, le personnel doit s’entraider dans l’exécution de son travail (art. 22 al. 4 statut).</w:t>
      </w:r>
    </w:p>
    <w:p>
      <w:r>
        <w:t>- 10/15 - A/1346/2011 4)</w:t>
      </w:r>
    </w:p>
    <w:p>
      <w:r>
        <w:t>Il convient d’établir la gravité des fautes commises, cas échéant, par le recourant.</w:t>
      </w:r>
    </w:p>
    <w:p>
      <w:r>
        <w:t>a. De jurisprudence constante, le juge administratif ne peut s’écarter d’un jugement pénal que s’il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(ATF 119 Ib 158 consid. 3c.aa ; Arrêt du Tribunal fédéral 6A.100/2006 du 28 mars 2007 consid. 2.1 ; ATA/238/2012 du 24 avril 2012 et la jurisprudence citée).</w:t>
      </w:r>
    </w:p>
    <w:p>
      <w:r>
        <w:t>b. L’état de légitime défense putative étant un fait justificatif, il exclut la faute de l’intéressé s’agissant du coup porté. Dans cette situation, l’auteur a cru par erreur qu’il était attaqué ou menacé de l’être. Si son erreur était évitable, il est punissable pour négligence (Arrêt du Tribunal fédéral 6S.29/2005 du 12 mai 2005 consid. 3).</w:t>
      </w:r>
    </w:p>
    <w:p>
      <w:r>
        <w:t>En l’espèce, les faits établis par le juge pénal sont identiques à ceux qui ressortent des pièces figurant au dossier s’agissant de l’altercation ayant eu lieu le 16 juillet 2010 entre le recourant et son collègue. La chambre de céans est donc liée par l’appréciation juridique de l’état de légitime défense putative retenu par le juge pénal, s’agissant du coup donné au visage de son collègue par le recourant et ayant occasionné des lésions corporelles simples. Aucun élément du dossier ne permet de s’écarter de cette appréciation, étant entendu qu’il n’existe pas de preuves nouvelles, ni de faits que le juge pénal n’aurait pas connus ou pris en considération. Il convient de retenir également que la négligence n’a pas été retenue à l’égard du recourant, son erreur dans l’évaluation de la situation n’étant pas évitable. En outre, le juge pénal n’a pas non plus retenu que le recourant avait excédé les bornes de la légitime défense.</w:t>
      </w:r>
    </w:p>
    <w:p>
      <w:r>
        <w:t>En conséquence, aucune faute ne peut être retenue à l’égard du recourant s’agissant du coup porté à son collègue en réponse à une situation ressentie, à tort, comme une menace pour son intégrité corporelle. 5)</w:t>
      </w:r>
    </w:p>
    <w:p>
      <w:r>
        <w:t>Reste à examiner si, et le cas échéant dans quelle mesure, des fautes peuvent être retenues s’agissant des autres faits établis.</w:t>
      </w:r>
    </w:p>
    <w:p>
      <w:r>
        <w:t>Le rapport d’enquête retient qu’un conflit, suivi d’une altercation verbale puis physique a opposé le recourant à son collègue en raison d’une divergence d’opinion au sujet des raisons d’un écart entre les résultats comptables de deux mois. Après que le ton soit monté, les déclarations concordent pour dire que les collègues étaient debout face à face, près l’un de l’autre avec une attitude d’intimidation. M. D______ a demandé au recourant de quitter son bureau, ce que</w:t>
      </w:r>
    </w:p>
    <w:p>
      <w:r>
        <w:t>- 11/15 - A/1346/2011 celui-ci a refusé de faire tout en s’approchant de son collègue. Par la suite M. D______ a poussé le recourant des deux mains, ce dernier a alors riposté par un coup au visage.</w:t>
      </w:r>
    </w:p>
    <w:p>
      <w:r>
        <w:t>Il convient dès lors de retenir qu’un échange verbal houleux et une attitude d’intimidation corporelle partagée par les deux protagonistes ont précédé les gestes physiques initiés par M. D______. Les témoignages ne concordent pas exactement quant au déroulement précis des échanges et des gestes avant que M. D______ ait poussé des deux mains le recourant contre un mur, mais il est établi qu’il n’y a pas eu d’insultes prononcées par M. A______.</w:t>
      </w:r>
    </w:p>
    <w:p>
      <w:r>
        <w:t>Il peut être retenu à charge du recourant le fait d’avoir participé à un échange verbal houleux avec un collègue pour des raisons de divergence d’opinions sur un sujet professionnel. Si l’on ne tient pas compte de l’altercation physique, il peut être retenu que, face à un collègue qui avait déjà par le passé frappé sur une table au cours d’un entretien lors duquel ils étaient en désaccord, le recourant lui a tenu tête en adoptant les mêmes gestes que lui, en se rapprochant physiquement et en refusant de quitter son bureau à sa demande.</w:t>
      </w:r>
    </w:p>
    <w:p>
      <w:r>
        <w:t>Ces faits constituent des violations des devoirs de service du recourant, dans la mesure où son comportement contrevient à l’obligation d’entretenir des relations dignes et correctes avec ses collègues et de faciliter la collaboration. Ce comportement est en outre susceptible de nuire à l’institution. 6) a. L’autorité qui inflige une sanction disciplinaire doit respecter le principe de la proportionnalité (Arrêt du Tribunal fédéral 2C_500/2012 du 22 novembre 2012 consid. 3.3).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(ATF 108 Ia 230 consid. 2b p. 232 ; 106 Ia 100 consid. 13c p. 121 ; 98 Ib 301 consid. 2b p. 306 ; 97 I 831 consid. 2a p. 835 ; Arrêt du Tribunal fédéral 2P.133/2003 du 28 juillet 2003 ; ATA/101/2010 du 16 février 2010 ; ATA/287/2006 du</w:t>
      </w:r>
    </w:p>
    <w:p>
      <w:r>
        <w:rPr>
          <w:b/>
        </w:rPr>
        <w:t>E. 23</w:t>
      </w:r>
    </w:p>
    <w:p>
      <w:r>
        <w:t>mai 2006 ; ATA/140/2006 du 14 mars 2006 ; ATA/648/2004 déjà cité ; RDAF 2007 I 235 ; RDAF 2001 II 9 35 consid. 3c/bb ; SJ 1993 221 consid. 4 et les références doctrinales citées).</w:t>
      </w:r>
    </w:p>
    <w:p>
      <w:r>
        <w:t>En matière de sanctions disciplinaires, l’autorité dispose d’un large pouvoir d’appréciation. Le pouvoir d’examen de la chambre de céans se limite à l’excès ou l’abus du pouvoir d’appréciation (art. 61 al. 2 LPA ; ATA/118/2013 du 26 février 2013 ; ATA/101/2010 déjà cité ; ATA/395/2004 du 18 mai). Alors même que l'autorité resterait dans le cadre de ses pouvoirs, quelques principes juridiques</w:t>
      </w:r>
    </w:p>
    <w:p>
      <w:r>
        <w:t>- 12/15 - A/1346/2011 les restreignent, dont la violation constitue un abus de pouvoir : l'autorité doit exercer sa liberté conformément au droit. Elle doit respecter le but dans lequel un tel pouvoir lui a été conféré, procéder à un examen complet de toutes les circonstances pertinentes, user de critères transparents et objectifs, ne pas commettre d'inégalité de traitement et appliquer le principe de proportionnalité (Pierre MOOR, Droit administratif, Vol. I, 3e édition, Berne, 2012, p. 743ss. et les références citées).</w:t>
      </w:r>
    </w:p>
    <w:p>
      <w:r>
        <w:t>Conformément à la doctrine et à la jurisprudence (ATF 130 III 28 consid. 4.1 p. 31, 213 consid. 3.1 p. 220 s.; 129 III 380 consid. 2.1 p. 382 ; Arrêt du Tribunal fédéral 8C.596/2009 du 4 novembre 2009 consid. 5 ; Gabriel BOINAY, Le droit disciplinaire de la fonction publique et dans les professions libérales, particulièrement en Suisse, in Revue jurassienne de jurisprudence, 1998, p. 62 et 63 et les références citées), la révocation peut être prononcée sans avertissement préalable lorsque l’infraction commise est si grave qu’elle révèle une mentalité absolument inconciliable avec la qualité de fonctionnaire. L’autorité doit enfin tenir compte de toutes les circonstances du cas concret, notamment de la situation, de la place occupée et de la responsabilité de l’agent (ATA/680/2010 du 5 octobre 2010 ; ATA/252/2009 du 19 mai 2009).</w:t>
      </w:r>
    </w:p>
    <w:p>
      <w:r>
        <w:t>b. En l’espèce, les intimés n’ont pas tenu compte de l’ensemble des circonstances et, notamment, du fait que le recourant estimait être menacé par son collègue et entendait se défendre, en retenant uniquement que le coup porté par le recourant constituait une réaction violente, totalement disproportionnée, portant atteinte à la santé d’un collaborateur et en qualifiant ce comportement de faute grave, sanctionnée par une révocation.</w:t>
      </w:r>
    </w:p>
    <w:p>
      <w:r>
        <w:t>Compte tenu des circonstances dans lesquelles les violations des devoirs de service qui peuvent être retenues à l’encontre du recourant ont été commises, à savoir en l’absence de lien hiérarchique entre les protagonistes, en présence d’un autre collègue uniquement et dans le contexte d’un problème comptable important et difficile à régler, alors que le travail de M. D______ était mis en cause, ainsi que du caractère unique de cette altercation, celles-ci doivent être qualifiées de peu de gravité.</w:t>
      </w:r>
    </w:p>
    <w:p>
      <w:r>
        <w:t>En conséquence, la chambre de céans retiendra que le comportement du recourant, remis dans son contexte, n’est pas de nature à justifier une révocation, laquelle est disproportionnée. Les intimés ont ainsi abusé de leur pouvoir d’appréciation en prononçant la révocation litigieuse qui doit être considérée comme contraire au droit. 7)</w:t>
      </w:r>
    </w:p>
    <w:p>
      <w:r>
        <w:t>La formulation de l’art. 31 LPAC qui s’applique par renvoi de l’art. 30 al. 3 LPAC ne permet pas à la chambre de céans d’annuler formellement la décision contraire au droit et d’imposer la réintégration du recourant mais uniquement de proposer celle-ci. Si l’autorité refuse la réintégration, alors la voie de</w:t>
      </w:r>
    </w:p>
    <w:p>
      <w:r>
        <w:t>- 13/15 - A/1346/2011 l’indemnisation est ouverte. En l’espèce, les intimés n’entendent pas réintégrer le recourant. Ils ont prononcé une décision exécutoire nonobstant recours et se sont déterminés à ce sujet, après l’arrêt rendu par le Tribunal fédéral, en exposant que le lien de confiance était irrémédiablement rompu. Il y a donc lieu de procéder à la fixation de l’indemnité à laquelle il a droit, à la lumière de la jurisprudence de la chambre de céans, dégagée pour l’application de l’art. 31 al. 3 LPAC ou des autres dispositions équivalentes figurant dans les statuts des employés communaux.</w:t>
      </w:r>
    </w:p>
    <w:p>
      <w:r>
        <w:t>A cet égard, il convient de préciser que le recourant a pris dans ses dernières écritures des conclusions chiffrées concernant cette indemnité. La chambre administrative est liée par les conclusions des parties (art. 69 al. 1 LPA). En l’espèce, il sera précisé que la conclusion en réintégration prise initialement par le recourant inclut celle du versement d’une indemnité en vertu de l’art. 31 al. 3 LPAC. La chambre de céans, qui n'a pas pour pratique de condamner un employeur au paiement d'un montant chiffré, mais de fixer l'indemnité pour refus de réintégration à un certain nombre de mois du dernier traitement brut de l'employé, retiendra que la conclusion subsidiaire du recourant porte sur le versement d’une indemnité du maximum prévu par la loi, soit vingt-quatre mois du dernier traitement brut, à l’exclusion de tout autre élément (art. 31 al. 3 LPAC). 8)</w:t>
      </w:r>
    </w:p>
    <w:p>
      <w:r>
        <w:t>Dans ses derniers arrêts en matière de licenciement d’agents publics, la chambre administrative a procédé à une analyse détaillée de l’évolution de sa jurisprudence pour arriver à la conclusion que le moyen d’obtenir réparation du caractère infondé du licenciement était de ne pas faire dépendre complètement le droit à une indemnité ainsi que la quotité de celle-ci de la possibilité d’une réintégration. Il y avait lieu désormais de tenir compte de l’ensemble des circonstances du cas d’espèce, et de les apprécier sans donner une portée automatiquement prépondérante à certains aspects, comme le fait d’avoir ou non retrouvé un emploi en cours de procédure (ATA/193/2014, ATA/195/2014 et ATA/196/2014 du 1er avril 2014). 9)</w:t>
      </w:r>
    </w:p>
    <w:p>
      <w:r>
        <w:t>En l’espèce, au vu de l’ensemble des circonstances, notamment de la durée des rapports de service, de l’absence d’antécédents de l’intéressé dans son parcours professionnel, du fait que les intimés ont retiré tout effet suspensif à leur décision de révocation et n’ont pas entendu réintégrer le recourant alors qu’il y était disposé, de la faute de celui-ci, du fait qu’après une période d’incapacité de travail pour laquelle il a été indemnisé à hauteur de son traitement, il a subi une période de chômage puis a retrouvé un emploi à un salaire nettement inférieur pour une durée de six mois et a subi à nouveau une période de chômage, l’indemnité sera arrêtée à douze mois de son dernier traitement brut au sens de l’art. 2 LTrait, à l’exclusion de tout autre élément de rémunération, avec intérêts moratoires à 5 % l’an dès le 1er juillet 2011, date à partir de laquelle les intimés ont cessé le versement de son salaire et qui marque la fin des rapports de service.</w:t>
      </w:r>
    </w:p>
    <w:p>
      <w:r>
        <w:t>- 14/15 - A/1346/2011 10) Au vu de ce qui précède, le recours sera admis partiellement. La décision querellée sera déclarée contraire au droit.</w:t>
      </w:r>
    </w:p>
    <w:p>
      <w:r>
        <w:t>L’indemnité pour refus de réintégration sera fixée à douze mois du dernier traitement brut du recourant comprenant le treizième salaire au prorata du nombre de mois fixés, au sens de l’art. 2 LTrait, à l’exclusion de toute autre rémunération.</w:t>
      </w:r>
    </w:p>
    <w:p>
      <w:r>
        <w:t>Malgré l’issue du litige, aucun émolument ne sera mis à la charge des intimés (art. 87 al. 1 2e phr. LPA). Une indemnité de procédure de CHF 2’500.- sera allouée au recourant, à la charge des intimés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