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ATA/257/2024 vom 27. Februar 2024</w:t>
      </w:r>
    </w:p>
    <w:p>
      <w:r>
        <w:t>GE Cour de justice, 2024-02-27, FR</w:t>
      </w:r>
    </w:p>
    <w:p>
      <w:r>
        <w:rPr>
          <w:b/>
        </w:rPr>
        <w:t xml:space="preserve">Quelle: </w:t>
      </w:r>
      <w:r>
        <w:t>https://mcp.opencaselaw.ch/entscheid/ge_gerichte_ATA_257_2024</w:t>
      </w:r>
    </w:p>
    <w:p>
      <w:r>
        <w:t>FR: GE_GERICHTE ATA/257/2024 du 27 février 2024</w:t>
      </w:r>
    </w:p>
    <w:p>
      <w:r>
        <w:t>IT: GE_GERICHTE ATA/257/2024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LPA). 2. Les recourantes soutiennent que ce serait à tort que le TAPI est entré en matière sur le grief des intimés en lien avec l’art. 72 LCI, alors qu’il aurait dû le déclarer irrecevable. 2.1 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 2.2 La juridiction administrative est liée par les conclusions des parties, sans pour autant être liée par les motifs invoqués (art. 69 al. 1 LPA). Aux termes de l’art. 67 al. 1 LPA, dès le dépôt du recours, le pouvoir de traiter l’affaire qui en est l’objet passe à l’autorité de recours. En vertu de l’effet dévolutif du recours ainsi prévu par la loi, la juridiction saisie est habilitée à substituer une autre motivation juridique à celle retenue par l’autorité intimée (ATF 136 II 101 consid. 1.2). 2.3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 ATA/1311/2020 du 15 décembre 2020 consid. 4a). 2.4 Selon l'art. 60 al. 1 let. b LPA, ont qualité pour recourir toutes les personnes qui sont touchées directement par une décision et ont un intérêt digne de protection à ce qu'elle soit annulée ou modifiée.</w:t>
      </w:r>
    </w:p>
    <w:p>
      <w:r>
        <w:t>- 15/19 - A/2597/2022 2.5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 ATA/85/2022 du 1er février 2022 consid. 5b ; ATA/1103/2021 du 19 octobre 2021 consid. 20b). 2.6 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 2.7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(ATA/881/2022 du 30 août 2022 consid. 3d).</w:t>
      </w:r>
    </w:p>
    <w:p>
      <w:r>
        <w:t>- 16/19 - A/2597/2022 2.8 S'il est exact que l'art. 3 al. 2 LCI autorise à tout un chacun la consultation des demandes d’autorisation et plans au département et de lui transmettre des observations, le législateur cantonal a néanmoins prévu d'autres dispositions de procédure qui règlent les cas de recours par-devant les juridictions administratives, dont celle de disposer d'un intérêt digne de protection à voir la question tranchée (art. 60 al. 1 let. b LPA). Ces règles de procédure ont justement pour but d'exclure l'action populaire. Il n'y a donc aucune contradiction entre la règle de l'art. 3 al. 2 LCI applicable en phase d'instruction d'une requête et le droit de procédure applicable dans le cadre d'un recours par-devant les juridictions administratives (ATA/85/2022 précité consid. 5g). 2.9 Dans l’ATA/17/2023 du 10 janvier 2023, la chambre administrative a rappelé ces principes. Si elle a reconnu la qualité pour recourir de voisins dont les propriétés se situaient à vol d'oiseau à environ 100 m du projet litigieux, elle a relevé qu’autre était la question de la recevabilité de certains des griefs à nouveau formulés au stade du recours, à savoir la hauteur minimale des vides d'étages. Elle a rappelé qu’elle avait déjà retenu que le TAPI était fondé à ne pas entrer en matière sur le grief d'une violation des normes sur les vides d'étages (ATA/85/2022 précité consid. 6b) dans la mesure où le nombre de personnes supplémentaires devant occuper les logements projetés, leur habitabilité, le confort des futurs habitants et la hauteur des bâtiments ne constituaient que de simples spéculations. Elle a ainsi retenu dans l’ATA/17/2023 qu’il était douteux que les recourants voisins disposent d'un intérêt digne de protection leur permettant d'invoquer ce grief. 2.10 Selon l’art. 72 LCI, les pièces servant à l'habitation de jour ou de nuit, les cuisines et les locaux où l'on travaille en permanence doivent être pourvus de baies ouvrant directement sur l'extérieur et disposant d'un champ de vue libre dénommée vue droite. 3. En l’espèce, les intimés ont fait valoir dans leur recours devant le TAPI la qualification de la seconde autorisation de construire ayant annulé la première (décision sur demande d’autorisation et non décision sur reconsidération), grief rejeté par le TAPI, une violation de l’art. 59 al. 4bis LCI tenant à l’exigence d’un préavis communal favorable, faisant défaut, l’absence d’un préavis de la CA sur les 3e et 4e versions du projet et de mention d’une dérogation selon l’art. 59 al. 4 LCI, une violation de la clause d’esthétique, une possible violation de la directive en lien avec les voies d’accès et la place de travail du SIS ainsi que la problématique des abattages d’arbres envisagés. C’est à la demande du TAPI que le département lui a transmis un préavis, favorable, de la DAC du 21 avril 2023 dont il ressort que les pièces donnant sur les places de stationnement s’avéraient être, comme pour la version n° 4 du projet préavisée favorablement, affectées à des cuisines et non plus des bureaux comme prévu jusqu’à la version n° 3 du projet, étant rappelé que c’est la version n° 4 qui</w:t>
      </w:r>
    </w:p>
    <w:p>
      <w:r>
        <w:t>- 17/19 - A/2597/2022 fait l’objet de l’autorisation querellée. Le département a alors précisé qu’il admettait que les vues droites ne soient pas respectées pour ce type d’affectation. Ce n’est ainsi qu’à la suite de l’intervention spontanée du TAPI et la réception de ce préavis que les intimés ont relevé, le 15 mai 2023, que la LCI n’offrait pas de pouvoir d’appréciation au département sur ce point, les cuisines étant expressément citées à l’art. 72 LCI. Les cuisines devaient disposer de vues droites, ce qui excluait des places de stationnement devant ces pièces. Le département a alors rétorqué que les voisins ne disposaient d’aucun intérêt digne de protection en lien avec une prétendue absence de vues droites suffisantes au rez-de-chaussée et les recourantes que le grief ayant trait à l’art. 72 LCI était irrecevable. Le TAPI s’est certes prononcé sur la qualité pour recourir des voisins, mais pas sur la recevabilité de ce dernier grief, formulé dans les circonstances précitées. Or, conformément à la jurisprudence précitée en lien notamment avec la question du respect du vide d’étages, on ne discerne a fortiori pas quel avantage pratique et direct les voisins des villas projetées auraient à se plaindre de la luminosité et de l’aération dans les cuisines des futurs occupants. Aussi, comme il l’a fait dans une précédente affaire concernant des vides d’étages et trouvant application à plus forte raison dans le cas d’espèce, le TAPI n’aurait pas dû entrer en matière sur le grief d’une violation de l’art. 72 LCI. Ce grief devait en effet être déclaré irrecevable. Partant, le recours sera admis, le jugement attaqué annulé et la cause renvoyée au TAPI pour examen des autres griefs des intimés. 4. Vu l’issue de la procédure, un émolument de CHF 1'200.- sera mis à la charge solidaire des intimés C______ et D______, E______ et F______, G et H______, I______ et J______, K______, L______ et M______, qui succombent (art. 87 al. 1 LPA). Une indemnité de procédure de CHF 1'200.- sera allouée conjointement aux recourantes, à la charge solidaire des intimés C______ et D______, E______ et F______, G______ et H______, I______ et J______, K______, L______ et M______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