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ATA/257/2020 vom 3. März 2020</w:t>
      </w:r>
    </w:p>
    <w:p>
      <w:r>
        <w:t>GE Cour de justice, 2020-03-03, FR</w:t>
      </w:r>
    </w:p>
    <w:p>
      <w:r>
        <w:rPr>
          <w:b/>
        </w:rPr>
        <w:t xml:space="preserve">Quelle: </w:t>
      </w:r>
      <w:r>
        <w:t>https://mcp.opencaselaw.ch/entscheid/ge_gerichte_ATA_257_2020</w:t>
      </w:r>
    </w:p>
    <w:p>
      <w:r>
        <w:t>FR: GE_GERICHTE ATA/257/2020 du 3 mars 2020</w:t>
      </w:r>
    </w:p>
    <w:p>
      <w:r>
        <w:t>IT: GE_GERICHTE ATA/257/2020 del 3 marzo 2020</w:t>
      </w:r>
    </w:p>
    <w:p>
      <w:pPr>
        <w:pStyle w:val="Heading2"/>
      </w:pPr>
      <w:r>
        <w:t>Erwägungen</w:t>
      </w:r>
    </w:p>
    <w:p>
      <w:r>
        <w:rPr>
          <w:b/>
        </w:rPr>
        <w:t>E. 12</w:t>
      </w:r>
    </w:p>
    <w:p>
      <w:r>
        <w:t>septembre 1985 - LPA - E 5 10). 2)</w:t>
      </w:r>
    </w:p>
    <w:p>
      <w:r>
        <w:t>Le litige porte sur la conformité au droit de la décision de l’OCPM du 6 mars 2018 refusant aux recourants et à leurs enfants l’octroi d’une autorisation de séjour pour cas individuel d’extrême gravité, y compris sous l'angle d'une régularisation selon l'opération « Papyrus », et prononçant leur renvoi de Suisse. 3)</w:t>
      </w:r>
    </w:p>
    <w:p>
      <w:r>
        <w:t>Le recours devant la chambre administrative peut être formé pour violation du droit, y compris l’excès et l’abus du pouvoir d’appréciation, ainsi que pour constatation inexacte des faits (art. 61 al. 1 LPA).</w:t>
      </w:r>
    </w:p>
    <w:p>
      <w:r>
        <w:t>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et l'intégration du 16 décembre 2005 [LEI - RS 142.20] du 16 juin 1988 - LaLEtr - F 2 10).</w:t>
      </w:r>
    </w:p>
    <w:p>
      <w:r>
        <w:t>- 14/23 - A/1316/2018 4) a. Le 1er janvier 2019, est entrée en vigueur une modification de la LEtr, devenue la LEI, et de l'OASA.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(ATA/847/2018 du 21 août 2018 consid. 3c et les références citées ; ATA/1052/2017 du 4 juillet 2017 consid. 4), prévaut.</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5)</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Kosovo (ATA/1279/2019 du 27 août 2019 consid. 4). 6) a. L'art. 30 al. 1 let. b LEI permet de déroger aux conditions d'admission en Suisse, telles que prévues aux art. 18 à 29 LEI, notamment aux fins de tenir compte des cas individuels d'une extrême gravité ou d'intérêts publics majeurs.</w:t>
      </w:r>
    </w:p>
    <w:p>
      <w:r>
        <w:t>b. L'art. 31 al. 1 OASA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w:t>
      </w:r>
    </w:p>
    <w:p>
      <w:r>
        <w:t>- 15/23 - A/1316/2018 pour déterminer l'existence d'un cas de rigueur (ATF 128 II 200; 124 II 110 consid. 2 ; ATA/38/2019 précité consid. 4c ; Directives SEM, op. cit., ch. 5.6).</w:t>
      </w:r>
    </w:p>
    <w:p>
      <w:r>
        <w:t>d. Si le séjour illégal a été implicitement toléré par les autorités chargées de l'application des prescriptions sur les étrangers et de l'exécution, cet aspect pèsera en faveur de l'étranger (Directives SEM, ch. 5.6.12).</w:t>
      </w:r>
    </w:p>
    <w:p>
      <w:r>
        <w:t>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ATA/353/2019 précité consid. 5d ; ATA/38/2019 précité consid. 4d).</w:t>
      </w:r>
    </w:p>
    <w:p>
      <w:r>
        <w:t>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w:t>
      </w:r>
    </w:p>
    <w:p>
      <w:r>
        <w:t>- 16/23 - A/1316/2018 consid. 5.2.1 ; 2C_369/2010 du 4 novembre 2010 consid. 4.1 ; ATA/353/2019 précité consid. 5d). 7) a. L'opération « Papyrus » développée par le canton de Genève a visé à régulariser la situation des personnes non ressortissantes UE/AELE bien intégrées et répondant à différents critères.</w:t>
      </w:r>
    </w:p>
    <w:p>
      <w:r>
        <w:t>Les critères pour pouvoir bénéficier de cette opération sont les suivants selon le livret intitulé « Régulariser mon statut de séjour dans le cadre de Papyrus » disponible sous https://www.ge.ch/regulariser-mon-statut-sejour-cadre- papyrus/criteres-respecter :</w:t>
      </w:r>
    </w:p>
    <w:p>
      <w:r>
        <w:t>- avoir un emploi ;</w:t>
      </w:r>
    </w:p>
    <w:p>
      <w:r>
        <w:t>- être indépendant financièrement ;</w:t>
      </w:r>
    </w:p>
    <w:p>
      <w:r>
        <w:t>- ne pas avoir de dettes ;</w:t>
      </w:r>
    </w:p>
    <w:p>
      <w:r>
        <w:t>- avoir séjourné à Genève de manière continue sans papiers pendant cinq ans minimum (pour les familles avec enfants scolarisés) ou dix ans minimum pour les autres catégories, à savoir les couples sans enfants et les célibataires ; le séjour doit être documenté ;</w:t>
      </w:r>
    </w:p>
    <w:p>
      <w:r>
        <w:t>- faire preuve d'une intégration réussie (minimum niveau A2 de français du cadre européen commun de référence pour les langues et scolarisation des enfants notamment) ;</w:t>
      </w:r>
    </w:p>
    <w:p>
      <w:r>
        <w:t>- absence de condamnation pénale (autre que séjour illégal).</w:t>
      </w:r>
    </w:p>
    <w:p>
      <w:r>
        <w:t>Le livret précise que les étrangers qui ont séjourné en Suisse de manière légale et y sont demeurés ensuite de manière illégale ne peuvent pas bénéficier du projet « Papyrus ». Les étrangers qui ont quitté la Suisse suite à un séjour légal puis y sont revenus en tant que clandestins peuvent être inclus dans le projet pour autant qu'ils remplissent les critères dudit projet, y compris ceux relatifs à la durée de séjour depuis leur retour en Suisse.</w:t>
      </w:r>
    </w:p>
    <w:p>
      <w:r>
        <w:t>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 = 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w:t>
      </w:r>
    </w:p>
    <w:p>
      <w:r>
        <w:t>- 17/23 - A/1316/2018 situation était constitutive d'un cas de rigueur en raison notamment de la durée importante de son séjour en Suisse, de son intégration professionnelle ou encore de l'âge de scolarisation des enfants (ATA/1000/2019 du 11 juin 2019 consid. 5b et les arrêts cités). 8)</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w:t>
      </w:r>
    </w:p>
    <w:p>
      <w:r>
        <w:t>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Tribunal administratif fédéral C-7330/2010 du 19 mars 2012 ; Minh SON NGUYEN/Cesla AMARELLE, op. cit., p. 269).</w:t>
      </w:r>
    </w:p>
    <w:p>
      <w:r>
        <w:t>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w:t>
      </w:r>
    </w:p>
    <w:p>
      <w:r>
        <w:t>- 18/23 - A/1316/2018 9) a. En l'espèce, les recourants sollicitent un permis de séjour en application de l’art. 30 al. 1 let. b LEI et 31 OASA, reprenant les critères développés dans le cadre de l'opération « Papyrus ».</w:t>
      </w:r>
    </w:p>
    <w:p>
      <w:r>
        <w:t>b. Premièrement, il convient d'examiner la durée du séjour en Suisse des recourants et de leurs enfants. Le recourant a tout d'abord vécu seul en Suisse, de septembre 2001 à février 2003, dans le cas de sa première demande d'asile puis, entre septembre 2009 et août 2014, avec son épouse et ses deux enfants aînés ; il est enfin revenu illégalement avec sa famille le 9 février 2015 - dans des conditions qui seront évoquées ci-après - et se trouve depuis lors sur territoire suisse. La durée globale du séjour en Suisse des époux atteint aujourd'hui dix ans, durée fractionnée en deux parties. Quant aux deux enfants aînés, ils sont arrivés pour la première fois en Suisse respectivement à l'âge de cinq et trois ans et ont vécu dans ce pays depuis lors, à l'exception des six mois passés entre août 2014 et février 2015 au Kosovo, à la suite de leur expulsion. Ainsi, leur séjour en Suisse peut être qualifié de très long, même s'il est exact que les années passées en Suisse entre 2009 et 2014 relèvent du domaine de l’asile et que leur séjour depuis février 2015 était illégal ou toléré par l'autorité. En particulier, la chambre administrative relève que les enfants aînés ont séjourné à Genève de manière continue pendant cinq ans puis ensuite à nouveau pendant cinq ans et que les jumelles sont nées en Suisse et n'ont jamais quitté ce pays. En d'autres termes, il est établi que les recourants et leurs enfants aînés scolarisés à Genève y ont séjourné pendant cinq ans consécutifs, entre le 9 février 2015 et aujourd'hui, et qu'ils respectent ainsi les critères de l'opération Papyrus.</w:t>
      </w:r>
    </w:p>
    <w:p>
      <w:r>
        <w:t>c. S'agissant de l’intégration de la famille peut être qualifiée de très bonne.</w:t>
      </w:r>
    </w:p>
    <w:p>
      <w:r>
        <w:t>Le recourant a toujours travaillé pendant que son épouse s'occupait des enfants. Il y a lieu de relever que son employeur a immédiatement accepté de le reprendre au sein de son entreprise lorsqu'il est revenu en Suisse en 2015. La stabilité dans cet emploi témoigne de sa volonté de prendre part à la vie économique suisse. Quant à son épouse, le même employeur s'est déclaré prêt à accepter de l'employer à temps partiel en cas de délivrance d'une autorisation. À ce sujet, l'un des témoins entendus par la chambre de céans a affirmé que le recourant était travailleur, fiable et que son intégration sortait du lot ; quant au second témoin, il a relevé que les membres de la famille avaient « un souci extrême de faire les choses très bien », soit notamment de se comporter en bons citoyens et avaient vraiment pour but de s'adapter. Il sied également de souligner que les intéressés ont effectivement noué des liens sociaux avec la Suisse, autant que faire se peut, compte tenu notamment de leurs moyens financiers limités ; à ce sujet, un témoin a tenu à souligner que le fils des recourants avait pratiqué le football mais qu'il n'avait pas pu continuer pour des raisons financières. Pour le surplus, les enfants aînés sont scolarisés à Genève, la fille au cycle et le fils en école spécialisée, où ils sont appréciés par leur entourage ; le fils fréquente</w:t>
      </w:r>
    </w:p>
    <w:p>
      <w:r>
        <w:t>- 19/23 - A/1316/2018 également l'association susmentionnée et y suit une psychothérapie qui semble avoir des effets encourageants. Le niveau de français des recourants est bon, comme il a pu être constaté lors des audiences de comparution personnelle et d'enquêtes.</w:t>
      </w:r>
    </w:p>
    <w:p>
      <w:r>
        <w:t>Certes, les époux ont bénéficié, par le passé, de prestations financières de l’Hospice général mais cette assistance date d'il y a plusieurs années, soit entre 2011 et 2015. À ce sujet, il faut relever que, depuis lors, non seulement les recourants ont toujours su se prendre en charge et subvenir aux besoins de leur famille mais qu'ils ont également remboursé une partie de leur dette – qui ne se monte plus qu'à CHF 4'310.35 – et qu'ils respectent l'engagement de rembourser mensuellement CHF 200.- depuis le 31 mai 2019. Il ne ressort en outre pas du dossier que les recourants auraient des dettes.</w:t>
      </w:r>
    </w:p>
    <w:p>
      <w:r>
        <w:t>d. S'agissant de leur comportement, il n'apparaît pas au dossier qu'ils auraient fait l'objet d’une condamnation pénale en Suisse, à l'exception d'une infraction à la législation régissant la police des étrangers due au séjour en Suisse sans autorisation. À ce sujet, il convient de préciser que l'OCPM n'a pas dénoncé le cas aux autorités et qu'il a toléré la présence des administrés sur le territoire genevois, raison pour laquelle cette inaction de la part de l'autorité intimée ne saurait être imputée aux recourants. Par ailleurs, le livret relatif à l’opération « Papyrus » précise qu'il faut entendre par « absence de condamnation pénale » une condamnation pénale « autre que celle pour séjour illégal ». Dans cette mesure, leur séjour irrégulier ne peut être retenu à leur encontre.</w:t>
      </w:r>
    </w:p>
    <w:p>
      <w:r>
        <w:t>e. Les intéressés allèguent encore que les problèmes de santé rencontrés par le recourant et son fils les placeraient dans une situation très problématique, voire dangereuse pour leur santé ou même leur vie, s'ils devaient retourner dans leur pays.</w:t>
      </w:r>
    </w:p>
    <w:p>
      <w:r>
        <w:t>S’agissant des problèmes de santé du recourant, il ressort des attestations médicales produites qu'il souffre d'une pathologie cardiaque sévère et précoce découverte en février 2018, suite à un infarctus, qu'il doit subir un suivi cardiologique strict et rapproché tous les six mois et des examens fonctionnels réguliers ainsi qu'un suivi médicamenteux. Il ressort certes des informations fournies par la représentation diplomatique suisse au Kosovo qu'il y existe des cliniques universitaires étatiques soignant les patients gratuitement mais il n'est pas contesté que ce pays ne dispose pas d'une assurance médicale étatique et que les médicaments n'y sont pas gratuits et doivent être achetés à titre privé. À ce sujet, la chambre de céans retient le témoignage du médecin du recourant, qui apparaît bien connaître le système de santé du Kosovo en particulier dans le domaine de la cardiologie, qui a affirmé que, s'il devait rentrer dans son pays, la situation présenterait de gros problèmes et qu'il n'était pas sûr qu'il puisse y subir les contrôles nécessaires ; enfin, il existait un risque que ce dernier ne prenne plus ses médicaments, faute de moyens financiers nécessaires.</w:t>
      </w:r>
    </w:p>
    <w:p>
      <w:r>
        <w:t>- 20/23 - A/1316/2018</w:t>
      </w:r>
    </w:p>
    <w:p>
      <w:r>
        <w:t>Concernant les problèmes de santé du fils des recourants, le TAPI et le TAF ont retenu que l’enfant pourrait bénéficier d’un traitement adéquat pour soigner ses troubles épileptiques et que les infrastructures médicales requises pour le suivi du traitement et la surveillance médicale de celui-ci étaient disponibles au Kosovo. Toutefois, postérieurement à ces décisions, un certificat médical dont la traduction française a été produite devant la chambre administrative a permis de démontrer de manière probante que le fils des recourants avait été victime de crises d'épilepsie ayant entraîné une hospitalisation à son retour au Kosovo en août 2015 et qu'il n'avait pas pu bénéficier des médicaments antiépileptiques – qu'il se procurait auparavant à l'étranger – car ils n'existaient pas dans ce pays. Il est également établi par le second document traduit qu'un retour au Kosovo impliquait que l'enfant ne pourrait plus être scolarisé dans une classe spécialisée. De plus et comme déjà dit précédemment, les carences en matière de soins dans ledit pays ont aussi été mises en exergue par le médecin du recourant. À cela s'ajoute le témoignage de sa psychologue, qui a insisté sur l'importance de son suivi à l'avenir et mentionné l'évolution positive de l'enfant qui avait besoin de stabilité, la situation administrative de la famille lui pesant beaucoup.</w:t>
      </w:r>
    </w:p>
    <w:p>
      <w:r>
        <w:t>f. Les critères des art. 30 al. 1 let. b LEI et 31 al. 1 OASA impliquant une situation représentant un cas individuel d’extrême gravité étant remplis, le dossier sera renvoyé à l'OCPM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 ordonnance du DFJP - RS 142.201.1). 10) Les considérants qui précèdent conduisent à l'admission du recours. Le jugement du TAPI du 21 janvier 2019 sera en conséquence annulé, de même que la décision de l'OCPM du 22 juin 2018. 11) Vu l'issue du litige, aucun émolument ne sera perçu (art. 87 al. 1 LPA), et une indemnité de procédure de CHF 1’500.- sera allouée aux recourants, qui obtiennent gain de cause et qui y ont conclu (art. 87 al. 2 LPA), à la charge de l'État de Genève (OCPM).</w:t>
      </w:r>
    </w:p>
    <w:p>
      <w:r>
        <w:t>* * * * *</w:t>
      </w:r>
    </w:p>
    <w:p>
      <w:r>
        <w:t>- 21/23 - A/1316/2018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