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ATA/256/2010 vom 20. April 2010</w:t>
      </w:r>
    </w:p>
    <w:p>
      <w:r>
        <w:t>GE Cour de justice, 2010-04-20, FR</w:t>
      </w:r>
    </w:p>
    <w:p>
      <w:r>
        <w:rPr>
          <w:b/>
        </w:rPr>
        <w:t xml:space="preserve">Quelle: </w:t>
      </w:r>
      <w:r>
        <w:t>https://mcp.opencaselaw.ch/entscheid/ge_gerichte_ATA_256_2010</w:t>
      </w:r>
    </w:p>
    <w:p>
      <w:r>
        <w:t>FR: GE_GERICHTE ATA/256/2010 du 20 avril 2010</w:t>
      </w:r>
    </w:p>
    <w:p>
      <w:r>
        <w:t>IT: GE_GERICHTE ATA/256/2010 del 20 aprile 2010</w:t>
      </w:r>
    </w:p>
    <w:p>
      <w:pPr>
        <w:pStyle w:val="Heading2"/>
      </w:pPr>
      <w:r>
        <w:t>Erwägungen</w:t>
      </w:r>
    </w:p>
    <w:p>
      <w:r>
        <w:rPr>
          <w:b/>
        </w:rPr>
        <w:t>E. 1</w:t>
      </w:r>
    </w:p>
    <w:p>
      <w:r>
        <w:t>a. Le 18 septembre 2008, le Grand Conseil de la République et canton de Genève a modifié la loi d’organisation judiciaire du 22 novembre 1941 (LOJ - E 2 05). Cette novelle, entrée en vigueur le 1er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w:t>
      </w:r>
    </w:p>
    <w:p>
      <w:r>
        <w:t>b. Cette modification législative a notamment entraîné l'abrogation de l'ancien art. 56B al. 4 LOJ. Le Tribunal administratif est désormais compétent, en sa qualité d'autorité supérieure ordinaire de recours en matière administrative, pour connaître également des recours contre les décisions concernant le statut et les rapports de service des fonctionnaires et autres membres du personnel de l’Etat (art. 56A al. 1 et 2 LOJ). Quant à l'art. 56G LOJ qui réglementait l'ancienne action pécuniaire largement utilisée pour régler le contentieux financier de la fonction publique, sa teneur a été modifiée. Il s'intitule dorénavant « action contractuelle » et est réservé aux prétentions fondées sur le droit public qui ne peuvent pas faire l'objet d'une décision et qui découlent d'un contrat de droit public.</w:t>
      </w:r>
    </w:p>
    <w:p>
      <w:r>
        <w:t>c. Le but du législateur est de simplifier le contentieux administratif de la fonction publique. La voie du recours au Tribunal administratif est ouverte en cas de litige entre un agent public et une collectivité publique portant sur des prétentions pécuniaire, dans tous les cas où la détermination relative à celles-ci peut sans difficulté faire l'objet d'une décision ordinaire (PL 10253, ad art. 56G LOJ, p.49). La conséquence de cette modification est importante. Elle implique en effet que l'agent public, avant d'agir en justice, présente sa requête à l'entité publique à laquelle il est rattaché pour qu'elle statue par une décision au sens de l'art. 4 de la loi sur la procédure administrative du 12 septembre 1985 (LPA - E 5 10), la juridiction administrative n'intervenant plus que sur recours contre cette décision. De son côté, l'action contractuelle de l'art. 56G LOJ, n'est plus une voie de droit ouverte pour ce type de contentieux, étant désormais réservée à celui des contrats de droit publics (ATA/9/2010 du 12 janvier 2010).</w:t>
      </w:r>
    </w:p>
    <w:p>
      <w:r>
        <w:rPr>
          <w:b/>
        </w:rPr>
        <w:t>E. 2</w:t>
      </w:r>
    </w:p>
    <w:p>
      <w:r>
        <w:t>Le nouveau droit s'appliquant à toutes les situations qui interviennent depuis son entrée en vigueur, les nouvelles règles d'organisation judiciaire régissent la recevabilité de « la demande en paiement » et de « l'action pécuniaire » formée le 27 avril 2009 par le demandeur.</w:t>
      </w:r>
    </w:p>
    <w:p>
      <w:r>
        <w:t>Partant, l'action est irrecevable.</w:t>
      </w:r>
    </w:p>
    <w:p>
      <w:r>
        <w:rPr>
          <w:b/>
        </w:rPr>
        <w:t>E. 3</w:t>
      </w:r>
    </w:p>
    <w:p>
      <w:r>
        <w:t>La cause sera transmise à la Ville pour qu'elle instruise cette demande et statue par une décision sujette à recours (art. 11 al. 3 LPA ; ATA/553/2009 et</w:t>
      </w:r>
    </w:p>
    <w:p>
      <w:r>
        <w:t>- 6/7 - A/1490/2009 ATA/555/2009 du 3 novembre 2009), sans que le Tribunal administratif ne traite le fond du litige, ni la question de savoir si ce dernier ressort du droit public ou du droit privé.</w:t>
      </w:r>
    </w:p>
    <w:p>
      <w:r>
        <w:rPr>
          <w:b/>
        </w:rPr>
        <w:t>E. 4</w:t>
      </w:r>
    </w:p>
    <w:p>
      <w:r>
        <w:t>Au vu des particularités du dossier, aucun émolument ne sera mis à la charge du demandeur, bien que ce dernier succombe. Il ne sera pas alloué d'indemnité de procédure à la Ville, qui dispose de son propre service juridique pour assurer sa défense (art. 87 al. 2 LPA ; ATA/486/2009 du 29 septembre 2009 ; ATA/312/2004 du 20 avril 2004).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