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ATA/255/2013 vom 23. April 2013</w:t>
      </w:r>
    </w:p>
    <w:p>
      <w:r>
        <w:t>GE Cour de justice, 2013-04-23, FR</w:t>
      </w:r>
    </w:p>
    <w:p>
      <w:r>
        <w:rPr>
          <w:b/>
        </w:rPr>
        <w:t xml:space="preserve">Quelle: </w:t>
      </w:r>
      <w:r>
        <w:t>https://mcp.opencaselaw.ch/entscheid/ge_gerichte_ATA_255_2013</w:t>
      </w:r>
    </w:p>
    <w:p>
      <w:r>
        <w:t>FR: GE_GERICHTE ATA/255/2013 du 23 avril 2013</w:t>
      </w:r>
    </w:p>
    <w:p>
      <w:r>
        <w:t>IT: GE_GERICHTE ATA/255/2013 del 23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w:t>
      </w:r>
    </w:p>
    <w:p>
      <w:r>
        <w:rPr>
          <w:b/>
        </w:rPr>
        <w:t>E. 3</w:t>
      </w:r>
    </w:p>
    <w:p>
      <w:r>
        <w:t>Selon l’art. 27 de la loi fédérale sur les étrangers du 16 décembre 2005 (LEtr - RS 142.20), un étranger peut être autorisé à séjourner en Suisse pour y</w:t>
      </w:r>
    </w:p>
    <w:p>
      <w:r>
        <w:t>- 6/10 - A/1669/2012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Toutefois,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 8 novembre 2011, ATA/612/2011 du 27 septembre 2011 et ATA/546/2011 du 30 août 2011).</w:t>
      </w:r>
    </w:p>
    <w:p>
      <w:r>
        <w:rPr>
          <w:b/>
        </w:rPr>
        <w:t>E. 4</w:t>
      </w:r>
    </w:p>
    <w:p>
      <w:r>
        <w:t>L’art. 23 al. 1 de l’ordonnance relative à l’admission, au séjour et à l’exercice d’une activité lucrative du 24 octobre 2007 (OASA - RS 142.201) prévoit que l’étranger doit prouver qu’il dispose des moyens financiers nécessaires à une formation ou à un perfectionnement, ce qu’il peut établir en fournissant soit une déclaration d’engagement ainsi qu’une attestation de revenu ou de fortune d’une personne solvable domiciliée en Suisse qui, si elle est de nationalité étrangère est titulaire d’une autorisation de séjour ou d’établissement (let. a); soit la confirmation d’une banque reconnue en Suisse permettant d’attester l’existence de valeurs patrimoniales suffisantes (let. b), soit encore une garantie ferme d’octroi de bourses ou de prêts de formation suffisants (let. c).</w:t>
      </w:r>
    </w:p>
    <w:p>
      <w:r>
        <w:rPr>
          <w:b/>
        </w:rPr>
        <w:t>E. 5</w:t>
      </w:r>
    </w:p>
    <w:p>
      <w:r>
        <w:t>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Les</w:t>
      </w:r>
    </w:p>
    <w:p>
      <w:r>
        <w:t>- 7/10 - A/1669/2012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w:t>
      </w:r>
    </w:p>
    <w:p>
      <w:r>
        <w:rPr>
          <w:b/>
        </w:rPr>
        <w:t>E. 6</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w:t>
      </w:r>
    </w:p>
    <w:p>
      <w:r>
        <w:t>La chambre administrative n’entend pas contester l’utilité que pourraient constituer des connaissances supplémentaires et comprend les aspirations légitimes du recourant à vouloir les acquérir. Toutefois, alors que le fardeau de la preuve incombe au recourant, le projet d’études qu’il entend entreprendre à Genève dans une école privée de niveau supérieur, mais non universitaire reste flou non seulement quant à son contenu et ses objectifs mais encore à sa durée. Le recourant, qui a transmis au TAPI une attestation de son école selon laquelle il allait se présenter à des examens en septembre 2012, n’a donné aucune indication à ce sujet dans l’acte de recours déposé devant la chambre de céans. En outre, il n’a pas établi, conformément aux exigences de l’art. 23 al. 1 OASA, qu’il dispose de moyens financiers suffisants, soit de moyens qui, sans qu’il ait la nécessité de recourir à un emploi rémunéré au détriment du rythme de ses études, lui permettent de faire face à ses charges. En particulier, l’attestation d’un compatriote au bénéfice d’un permis d’établissement en Argovie ne permet pas d’établir que celui-ci a les capacités financières, eu égard à ses propres charges que l’on ignore, d’aider financièrement le recourant.</w:t>
      </w:r>
    </w:p>
    <w:p>
      <w:r>
        <w:t>En considération de la pratique restrictive des autorités helvétiques dans la réglementation des conditions de résidence des étudiants étrangers, des variations intervenues dans son projet d’études et de la formation universitaire acquise dans son pays, il n’apparaît pas de raisons particulières et suffisantes justifiant l’octroi d’une autorisation de séjour, en vue d’entamer une nouvelle formation à Genève.</w:t>
      </w:r>
    </w:p>
    <w:p>
      <w:r>
        <w:t>- 8/10 - A/1669/2012 Même si l’art. 23 al. 2 OASA n’interdit pas la poursuite successive de plusieurs formations, la nécessité de les entreprendre en Suisse n’est pas démontrée et il n’est pas établi que les études qu’il entend poursuivre ne puissent être entreprises ailleurs, notamment dans son pays d’origine. Dans ces circonstances, il ne saurait être fait grief à l’OCP d’avoir excédé ou abusé de son pouvoir d’appréciation en retenant que les conditions posées en la matière n’étaient pas remplies dans le cas d’espèce.</w:t>
      </w:r>
    </w:p>
    <w:p>
      <w:r>
        <w:rPr>
          <w:b/>
        </w:rPr>
        <w:t>E. 7</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rPr>
          <w:b/>
        </w:rPr>
        <w:t>E. 8</w:t>
      </w:r>
    </w:p>
    <w:p>
      <w:r>
        <w:t>Entièrement mal fondé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