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ATA/253/2026 vom 10. März 2026</w:t>
      </w:r>
    </w:p>
    <w:p>
      <w:r>
        <w:t>GE Cour de justice, 2026-03-10, FR</w:t>
      </w:r>
    </w:p>
    <w:p>
      <w:r>
        <w:rPr>
          <w:b/>
        </w:rPr>
        <w:t xml:space="preserve">Quelle: </w:t>
      </w:r>
      <w:r>
        <w:t>https://mcp.opencaselaw.ch/entscheid/ge_gerichte_ATA_253_2026</w:t>
      </w:r>
    </w:p>
    <w:p>
      <w:r>
        <w:t>FR: GE_GERICHTE ATA/253/2026 du 10 mars 2026</w:t>
      </w:r>
    </w:p>
    <w:p>
      <w:r>
        <w:t>IT: GE_GERICHTE ATA/253/2026 del 10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L’intimé conteste la recevabilité de deux des conclusions des recourants, soit sa condamnation « à assumer ses propres errances » et « à imminer les sanctions de l’insoumission à l’acte judiciaire ». Il considère également que l’objet du recours est limité à la question de la recevabilité de la demande des recourants, faute de griefs concernant le rejet des trois demandes de récusation.</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w:t>
      </w:r>
    </w:p>
    <w:p>
      <w:r>
        <w:t>- 10/22 - A/3530/2025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(ATA/3/2026 du 6 janvier 2026 consid. 1.2). Une requête en annulation d’une décision doit par exemple être déclarée recevable dans la mesure où le recourant a, de manière suffisante, manifesté son désaccord avec la décision ainsi que sa volonté qu’elle ne développe pas d’effets juridiques (ATA/1385/2025 du 10 décembre 2025 consid. 1.1).</w:t>
      </w:r>
    </w:p>
    <w:p>
      <w:r>
        <w:rPr>
          <w:b/>
        </w:rPr>
        <w:t>E. 2.2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(ATA/71/2026 du 20 janvier 2026 consid. 4.1 ; ATA/102/2025 du 28 janvier 2025 consid. 2.3).</w:t>
      </w:r>
    </w:p>
    <w:p>
      <w:r>
        <w:rPr>
          <w:b/>
        </w:rPr>
        <w:t>E. 2.3</w:t>
      </w:r>
    </w:p>
    <w:p>
      <w:r>
        <w:t>In casu, l’arrêté attaqué porte, d’une part, sur le rejet des trois demandes de récusation visant la conseillère d’État, la directrice UHE du DIP et la juriste de la Chancellerie d’État, et, d’autre part, sur l’irrecevabilité de la demande de constatation de la violation du droit à la liberté d’expression des recourants. Dans leur acte de recours, les recourants ont conclu principalement à l’annulation de l’arrêté attaqué dans sa globalité, ce qui implique celle des deux points précités. À cet égard, contrairement aux allégations de l’intimé, il ressort des écritures des recourants dans le cadre de la présente procédure que ceux-ci remettent en question le rejet de la demande de récusation de la conseillère d’État, de sorte que ce point fait partie de l’objet du litige soumis à la chambre de céans. En revanche, il est exact que l’argumentation des recourants ne revient pas sur le rejet de leurs demandes de récusation de la directrice UHE du DIP ni de la juriste de la chancellerie d’État. Au surplus, il est admis que les recourants contestent également le second point sur</w:t>
      </w:r>
    </w:p>
    <w:p>
      <w:r>
        <w:t>- 11/22 - A/3530/2025 lequel se prononce l’arrêté en cause, soit l’irrecevabilité de leur demande de constatation de la violation de leur droit à la liberté d’expression. Concernant la formulation des deux autres conclusions principales des recourants, à savoir la condamnation de l’intimé « à assumer ses propres errances » et « à imminer les sanctions de l’insoumission à l’acte judiciaire », s’il faut convenir que celle-ci apparaît a priori peu claire, les recourants ont néanmoins pu en expliquer la signification, en particulier dans leurs écritures de réplique. Ainsi, il en ressort que la conclusion visant à « imminer les sanctions de l’insoumission à l’acte judiciaire » vise concrètement une condamnation sous la menace de la peine prévue à l’art. 292 CP pour insoumission à un acte judiciaire. Il faut donc déduire des conclusions des recourants et de leurs explications que ceux-ci réclament la condamnation du Conseil d’État à cesser tout acte illicite portant atteinte à leur liberté d’expression, sous la menace de l’art. 292 CP. Or, force est de constater que dites conclusions sont exorbitantes à l’objet du litige portant, à cet égard et à ce stade, uniquement sur la question de la recevabilité de la demande en constatation de la violation du droit à la liberté d’expression des recourants. En effet, le Conseil d’État ayant déclaré ladite demande irrecevable, celui-ci ne s’est pas prononcé sur le fond du litige, soit l’éventuelle existence d’une violation du droit à la liberté d’expression des recourants. Par conséquent, ces deux conclusions doivent être déclarées irrecevables, de sorte que seules seront admises celles ayant trait à l’objet du litige tel que défini par l’arrêté attaqué, à savoir la récusation de la conseillère d’État et l’irrecevabilité de la demande de constatation de la violation du droit à la liberté d’expression des recourants.</w:t>
      </w:r>
    </w:p>
    <w:p>
      <w:r>
        <w:rPr>
          <w:b/>
        </w:rPr>
        <w:t>E. 3</w:t>
      </w:r>
    </w:p>
    <w:p>
      <w:r>
        <w:t>En premier lieu, les recourants contestent le rejet de leur demande de récusation concernant la conseillère d’État.</w:t>
      </w:r>
    </w:p>
    <w:p>
      <w:r>
        <w:rPr>
          <w:b/>
        </w:rPr>
        <w:t>E. 3.1</w:t>
      </w:r>
    </w:p>
    <w:p>
      <w:r>
        <w:t>Aux termes de l’art. 29 al. 1 Cst. – applicable lorsque l’impartialité des membres d’une autorité non judiciaire est invoquée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La récusation doit demeurer l’exception. Un risque de prévention ne doit</w:t>
      </w:r>
    </w:p>
    <w:p>
      <w:r>
        <w:t>- 12/22 - A/3530/2025 dès lors pas être admis trop facilement, mais doit se justifier par des motifs particulièrement importants.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À cet égard, une appréciation spécifique est nécessaire dans chaque situation particulière, en tenant compte des fonctions légalement attribuées à l’autorité.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Une partie ne peut pas justifier le devoir de récusation d’une personne au seul motif que cette personne a, dans une procédure antérieure, pris une décision à son détriment ou contribué à une prise de décision antérieure la concernant (ATA/454/2021 du 27 avril 2021 consid. 8 et les références citées).</w:t>
      </w:r>
    </w:p>
    <w:p>
      <w:r>
        <w:rPr>
          <w:b/>
        </w:rPr>
        <w:t>E. 3.2</w:t>
      </w:r>
    </w:p>
    <w:p>
      <w:r>
        <w:t>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Les membres du Conseil d’Etat ou d’un exécutif communal n’ont pas à se récuser dans les affaires non contentieuses concernant des personnes morales, organes ou autorités à l’administration desquels ils appartiennent en qualité officielle (art. 15 al. 2 LPA). À la base, l’art. 15 al. 2 LPA vise à réserver la situation particulière des conseillers d’État agissant à la fois en qualité de membres du collège gouvernemental et en qualité de chefs d’un département de l’administration cantonale. Depuis lors, la jurisprudence a pu préciser que la récusation de membres des autorités supérieures du pouvoir exécutif doit être examinée en tenant compte de la mission et de l’organisation desdites autorités. Celles-ci assument avant tout des tâches de gouvernement, de direction et de gestion et ne sont qu’occasionnellement impliquées dans des procédures juridiques ouvertes à l’égard ou sur requête de particuliers. Leurs tâches impliquent le cumul de fonctions diverses, qui ne pourraient être séparées sans atteinte à l’efficacité de la gestion et à la légitimité démocratique et politique des décisions correspondantes et exigent souvent des prises de position publiques (Stéphane GRODECKI/Romain JORDAN,</w:t>
      </w:r>
    </w:p>
    <w:p>
      <w:r>
        <w:t>- 13/22 - A/3530/2025 Code annoté de procédure administrative genevoise, 2017, n. 243 s. ad art. 15 LPA et les références citées).</w:t>
      </w:r>
    </w:p>
    <w:p>
      <w:r>
        <w:rPr>
          <w:b/>
        </w:rPr>
        <w:t>E. 3.3</w:t>
      </w:r>
    </w:p>
    <w:p>
      <w:r>
        <w:t>Selon un principe général, la partie qui a connaissance d’un motif de récusation doit l’invoquer aussitôt, sous peine d’être déchue du droit de s’en prévaloir ultérieurement (art. 15 al. 3 LPA ;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3.4</w:t>
      </w:r>
    </w:p>
    <w:p>
      <w:r>
        <w:t>En l’occurrence, les recourants considèrent qu’en se déterminant comme elle l’a fait devant la commission des pétitions et le Grand Conseil sur la pétition dans le cadre de l’étude de celle-ci par le pouvoir législatif, la conseillère d’État aurait failli à son obligation de transparence, justifiant par là-même sa récusation dans le cadre de la présente procédure. Dans la mesure où ses propres déclarations étaient mises en cause quant à la prétendue violation de leur liberté d’expression en lien avec la pétition, elle ne pouvait statuer sur leur demande de constatation de la violation de leur liberté d’expression, en tant que membre du Conseil d’État. Or, la motivation même de la demande de récusation des recourants à l’égard de la conseillère d’État démontre que la détermination des prises de position de cette dernière s’inscrit dans l’exercice de ses fonctions, à la fois comme cheffe d’un département et comme membre du Conseil d’État. Dans ces circonstances, comme représentante de l’exécutif cantonal dirigeant un des départements de cette autorité, elle a fait part d’un point de vue collégial auprès de la commission des pétitions et du Grand Conseil, sollicité conformément à la procédure applicable en la matière, tel qu’indiqué dans les considérants suivants. Contrairement aux allégations des recourants, il ne s’agit pas in casu de juger le comportement personnel de la conseillère d’État concernée, mais d’examiner la position du Conseil d’État, exprimée par l’intermédiaire de la magistrate. Une simple divergence d’opinion entre la conseillère d’État, le Conseil d’État et les recourants sur la pétition ne saurait être considérée comme un motif de récusation valable.</w:t>
      </w:r>
    </w:p>
    <w:p>
      <w:r>
        <w:t>- 14/22 - A/3530/2025 D’ailleurs, les recourants n’invoquent pas – à juste titre – un quelconque conflit d’intérêts de la conseillère d’État à leur encontre ou concernant l’ECAV, ni des précédents susceptibles de dénoter une certaine prévention, notamment au vu de l’ampleur des échanges intervenus entre la concernée et eux, en particulier en raison des multiples sollicitations de B______. Par conséquent, en l’absence de motif de récusation, le Conseil d’État devait rejeter la demande de récusation des recourants formulée à l’égard de la conseillère d’État visée.</w:t>
      </w:r>
    </w:p>
    <w:p>
      <w:r>
        <w:rPr>
          <w:b/>
        </w:rPr>
        <w:t>E. 4</w:t>
      </w:r>
    </w:p>
    <w:p>
      <w:r>
        <w:t>En second lieu, les recourants contestent l’irrecevabilité de leur demande de constatation de la violation de leur liberté d’expression en lien avec le traitement par l’intimé, en particulier la conseillère d’État, de leur pétition dans le cadre des travaux du Grand Conseil portant sur celle-ci.</w:t>
      </w:r>
    </w:p>
    <w:p>
      <w:r>
        <w:rPr>
          <w:b/>
        </w:rPr>
        <w:t>E. 4.1</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w:t>
      </w:r>
    </w:p>
    <w:p>
      <w:r>
        <w:rPr>
          <w:b/>
        </w:rPr>
        <w:t>E. 4.1.1</w:t>
      </w:r>
    </w:p>
    <w:p>
      <w:r>
        <w:t>Le législateur cantonal a volontairement repris le contenu du droit fédéral (art. 25a de la loi fédérale sur la procédure administrative - RS -172.021) en faisant le choix de suivre le mécanisme impliquant une saisine préalable de l'autorité concernée, et non celui permettant de recourir directement contre l’acte matériel dénoncé. L'administré doit ainsi formuler ses prétentions auprès de l’autorité qui selon lui viole ses droits ; l’autorité ouvre alors une procédure, qui est régie par la LPA, et rend une décision sujette à recours (arrêt du Tribunal fédéral 8C_775/2019 du 17 mars 2020 consid. 3.1).</w:t>
      </w:r>
    </w:p>
    <w:p>
      <w:r>
        <w:rPr>
          <w:b/>
        </w:rPr>
        <w:t>E. 4.1.2</w:t>
      </w:r>
    </w:p>
    <w:p>
      <w:r>
        <w:t>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 berühren ») à des droits ou obligations - et à un critère relatif au requérant (« subjektbezogenes Kriterium ») - c'est-à-dire que le requérant a un intérêt digne de protection à obtenir une décision sur un acte matériel. Bien que ces deux critères vont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w:t>
      </w:r>
    </w:p>
    <w:p>
      <w:r>
        <w:t>- 15/22 - A/3530/2025 Selon la jurisprudence du Tribunal fédéral, l'art. 25a al. 1 PA doit conférer aux personnes concernées un droit à une procédure administrative subséquente et indépendante (ATF 144 II 233 consid. 3 = JdT 2019 I p. 58, 59 ; ATF 140 I 315 consid. 2.1). Cependant, la prétention fondée sur l'art. 25a PA n'existe pas si la législation a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Le droit à l'acte attaquable suppose ainsi que le requérant soit touché de manière directe, concrète et dans une mesure et avec une intensité plus grande que la généralité des administrés, l'intérêt invoqué qui peut être un intérêt de pur fait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w:t>
      </w:r>
    </w:p>
    <w:p>
      <w:r>
        <w:rPr>
          <w:b/>
        </w:rPr>
        <w:t>E. 4.1.3</w:t>
      </w:r>
    </w:p>
    <w:p>
      <w:r>
        <w:t>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rPr>
          <w:b/>
        </w:rPr>
        <w:t>E. 4.2</w:t>
      </w:r>
    </w:p>
    <w:p>
      <w:r>
        <w:t>Aux termes de l'art. 29a Cst., toute personne a droit à ce que sa cause soit jugée par une autorité judiciaire ;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(ATF 143 I 344 consid. 8.2; 141 I 172 consid 4.4.1). Il s'agit en particulier de contestations portant sur les droits et les obligations de personnes, physiques ou morales (ATF 143 I 344 consid. 8.2 et les références). L'art. 6 CEDH n'offre pas de protection plus étendue que l'art. 29a Cst. (arrêts du Tribunal fédéral 2C_705/2021</w:t>
      </w:r>
    </w:p>
    <w:p>
      <w:r>
        <w:t>- 16/22 - A/3530/2025 du 7 février 2022 consid. 6.1 ; 8C_246/2018 du 16 janvier 2019 consid. 6.2 ; 5A_510/2018 du 26 septembre 2018 consid. 3.3; cf. ATF 134 V 401 consid. 5.3).</w:t>
      </w:r>
    </w:p>
    <w:p>
      <w:r>
        <w:rPr>
          <w:b/>
        </w:rPr>
        <w:t>E. 4.2.1</w:t>
      </w:r>
    </w:p>
    <w:p>
      <w:r>
        <w:t>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En d'autres termes, l'art. 29a Cst. ne confère pas à quiconque le droit d'obtenir qu'un juge examine la légalité de toute action de l'État, indépendamment des règles procédurales applicables ; il est en particulier admissible de faire dépendre le caractère justiciable d'une cause d'un intérêt actuel ou pratique (arrêts du Tribunal fédéral 2C_651/2019 du 21 janvier 2020 consid. 5.1.1 et les références citées ; 8C_246/2018 du 16 janvier 2019 consid. 6.2).</w:t>
      </w:r>
    </w:p>
    <w:p>
      <w:r>
        <w:rPr>
          <w:b/>
        </w:rPr>
        <w:t>E. 4.2.2</w:t>
      </w:r>
    </w:p>
    <w:p>
      <w:r>
        <w:t>La seule exception à l’exercice de ce droit concerne les décisions difficilement « justiciables », par exemple des actes gouvernementaux qui soulèvent essentiellement des questions politiques, lesquelles ne se prêtent pas au contrôle du juge. À cet égard, l’accès au juge étant garanti par la Constitution, il convient d'interpréter l'art. 86 al. 3 LTF, qui déroge à cette garantie, de manière stricte (ATF 136 II 436 consid. 1.2) ; seules les situations revêtant à l'évidence un caractère politique, dans lesquelles un contrôle par le juge n'apparaît pas admissible, sont visées. Il ne suffit donc pas que la cause ait une connotation politique, encore faut-il que celle-ci s'impose de manière indubitable et relègue à l'arrière-plan les éventuels intérêts privés en jeu ; le fait que la décision émane d'une autorité politique est un indice de son caractère politique, mais n'est pas toujours déterminant (ATF 136 I 42 consid. 1.5.3 et 1.5.4). La notion juridique de « décision revêtant un caractère politique prépondérant » est en elle-même indéterminée. Néanmoins, tel est notamment le cas de l’adoption d’un plan directeur cantonal (FF 2001 4027) et d’une décision du gouvernement cantonal quant à la planification scolaire (arrêt du Tribunal fédéral 2C_761/2012 du 12 avril 2013, consid. 3.2 = RDAF 2014 I 338, Stéphane GRODECKI/Romain JORDAN, op. cit., n. 91 ad art. 4A LPA).</w:t>
      </w:r>
    </w:p>
    <w:p>
      <w:r>
        <w:rPr>
          <w:b/>
        </w:rPr>
        <w:t>E. 4.3</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w:t>
      </w:r>
    </w:p>
    <w:p>
      <w:r>
        <w:rPr>
          <w:b/>
        </w:rPr>
        <w:t>E. 4.3.1</w:t>
      </w:r>
    </w:p>
    <w:p>
      <w:r>
        <w:t>La liberté d'expression englobe les formes les plus diverses d'expression d'opinions (ATF 143 I 147 consid. 3.1). Le contenu d'une opinion exprimée n'a en</w:t>
      </w:r>
    </w:p>
    <w:p>
      <w:r>
        <w:t>- 17/22 - A/3530/2025 principe aucune importance. Même les déclarations provocantes ou choquantes sur le fond méritent la protection des droits fondamentaux (ATF 138 I 274 consid. 2.2.1) ; la Cour européenne des droits de l’Homme (ci-après : CourEDH) utilise du reste couramment la formule selon laquelle la liberté d’expression vaut non seulement pour les informations ou idées accueillies avec faveur ou considérées comme inoffensives ou indifférentes, mais aussi pour celles qui heurtent, choquent ou inquiètent (ACEDH Danilet c. Roumanie [Grande Chambre] du 15 décembre 2025, req. n° 16915/2021, § 142).</w:t>
      </w:r>
    </w:p>
    <w:p>
      <w:r>
        <w:rPr>
          <w:b/>
        </w:rPr>
        <w:t>E. 4.3.2</w:t>
      </w:r>
    </w:p>
    <w:p>
      <w:r>
        <w:t>Les libertés d’opinion et de réunion peuvent être restreintes d’abord par des mesures directes telles que des interdictions ou des sanctions. Des restrictions indirectes existent aussi, en ce sens qu'à la suite d’une réaction de l’autorité, l’individu sera dissuadé d’exercer à nouveau les droits fondamentaux. La jurisprudence et la doctrine envisagent à cet égard un effet de répulsion ou d’incitation négative (« chilling effect »). L’exercice des droits fondamentaux ne doit pas être restreint par des mesures connexes négatives engendrant un effet de répulsion ou d’intimidation (ATF 143 I 147 consid. 3.3 = JdT 2017 I p. 107, 110).</w:t>
      </w:r>
    </w:p>
    <w:p>
      <w:r>
        <w:rPr>
          <w:b/>
        </w:rPr>
        <w:t>E. 4.3.3</w:t>
      </w:r>
    </w:p>
    <w:p>
      <w:r>
        <w:t>Le droit à un recours effectif, tel que garanti par l'art. 13 CEDH, exige un recours au niveau national permettant d'examiner l'existence d'une ingérence dans l'exercice d'un droit protégé par la CEDH, mais ne garantit pas, en tant que tel, l'accès général à un tribunal (ATF 137 I 296 consid. 4.3.1 ; 133 I 49 consid. 3.1 ; 129 II 193 consid. 3.2).</w:t>
      </w:r>
    </w:p>
    <w:p>
      <w:r>
        <w:rPr>
          <w:b/>
        </w:rPr>
        <w:t>E. 4.4</w:t>
      </w:r>
    </w:p>
    <w:p>
      <w:r>
        <w:t>Sous le titre II consacré aux droits fondamentaux, l’art. 33 de la Constitution de la République et canton de Genève du 14 octobre 2012 (Cst‑GE - A 2 00) prévoit que toute personne a le droit, sans encourir de préjudice, d’adresser une pétition aux autorités et de récolter des signatures à cet effet (al. 1). Les autorités examinent les pétitions qui leur sont adressées. Elles y répondent dans les meilleurs délais (al. 2).</w:t>
      </w:r>
    </w:p>
    <w:p>
      <w:r>
        <w:rPr>
          <w:b/>
        </w:rPr>
        <w:t>E. 4.4.1</w:t>
      </w:r>
    </w:p>
    <w:p>
      <w:r>
        <w:t>Une pétition est un écrit qualifié comme tel par lequel une personne formule librement une plainte, une demande ou un vœu à l’intention de l’autorité cantonale ou communale de son choix (art. 1 de la loi sur l’exercice du droit de pétition du 14 septembre 1979 - LPétition - A 5 10 et 167 de la loi portant règlement du Grand Conseil de la République et canton de Genève du 13 septembre 1985 (LRGC - B 1 01). L’autorité qui reçoit une pétition l’étudie et peut procéder, dans les limites de ses compétences, aux auditions et demandes de renseignements nécessaires (art. 3 al. 1 LPétition). Les autorités ainsi que leurs services doivent apporter leur collaboration à l’étude d’une pétition, dans les limites de la loi (art. 3 al. 3 LPétition). Selon l’art. 4 LPétition, après examen de la pétition, l’autorité doit, soit : donner suite à la pétition dans les limites de ses compétences (let. a) ; la renvoyer à l’autorité compétente en la matière (let. b) ; la classer (let. c ; al. 1). Ses conclusions sont précisées dans un rapport (al. 2). L’autorité communique son rapport au pétitionnaire ou à son représentant (art. 5 al. 1 LPétition).</w:t>
      </w:r>
    </w:p>
    <w:p>
      <w:r>
        <w:t>- 18/22 - A/3530/2025</w:t>
      </w:r>
    </w:p>
    <w:p>
      <w:r>
        <w:rPr>
          <w:b/>
        </w:rPr>
        <w:t>E. 4.4.2</w:t>
      </w:r>
    </w:p>
    <w:p>
      <w:r>
        <w:t>Le Grand Conseil se prononce sur les pétitions qui lui sont adressées (art. 2 let. q LRGC). Celles-ci ont leur place dans les ordres du jour de ses sessions (art. 95 et 97 Cst-GE). Dès le début de la législature, le Grand Conseil nomme une commission de quinze membres, chargée d’examiner les pétitions et de faire rapport sur chacune d’elles (art. 220 LRGC). À teneur de l’art. 171 LRGC, le président du Grand Conseil annonce les pétitions au cours de la séance qui suit leur réception (al. 1). Il n’en est donné lecture que sur demande de 20 députés (al. 2). Elles sont renvoyées à la commission des pétitions sans discussion. Toutefois, cette dernière peut décider de les renvoyer à une autre commission saisie de l’objet auquel elles se rapportent. À l'unanimité, la commission peut décider souverainement de ne pas auditionner les pétitionnaires (al. 3). Le texte de la pétition est en principe joint au rapport (al. 4). Les commissions et sous-commissions procèdent aux auditions et consultations qu’elles jugent utiles (al. 1). Lorsqu’un fonctionnaire doit être entendu, le président de la commission en informe préalablement, par écrit, le chef du département intéressé (al. 2). Le Conseil d’Etat peut être représenté aux séances de commission, sauf décision contraire de la commission communiquée préalablement (al. 3 ; art. 192 LRGC). L’art. 172 LRGC prévoit qu’après avoir délibéré sur le rapport de la commission, le Grand Conseil statue sur l’une des propositions formulées par la commission : renvoi à une autre commission du Grand Conseil (let. a) ; renvoi pour examen au Conseil d’État ou à une autre autorité compétente (let. b) ; dépôt pour information sur le bureau (let. c) et classement (let. d ; al. 1). La proposition de classement qui n’est pas assortie d’un rapport de minorité ne donne pas lieu à un débat à moins que dix députés ne proposent l’un des trois autres modes de traitement de la pétition (al. 2).</w:t>
      </w:r>
    </w:p>
    <w:p>
      <w:r>
        <w:rPr>
          <w:b/>
        </w:rPr>
        <w:t>E. 4.4.3</w:t>
      </w:r>
    </w:p>
    <w:p>
      <w:r>
        <w:t>L’une des fonctions essentielles du droit de pétition consiste à permettre aux citoyens d’exercer une certaine influence sur les prises de décision des organes de l’État, et d’être entendus par les autorités, quand bien même une pétition n’a pas les mêmes effets juridiques contraignants qu’une initiative ou un référendum. Le droit de pétition protège d’abord les actes qui servent à préparer la pétition elle-même, soit notamment la récolte des signatures, et les pétitionnaires contre le risque de subir des conséquences préjudiciables pour avoir rédigé une pétition, l’interdiction des sanctions étant l’un des aspects les plus importants de ce droit fondamental. Les pétitionnaires sont ainsi protégés contre la divulgation de leur identité. Contrairement aux droits politiques et aux droits de recours en général, le droit de pétition ne confère pas aux pétitionnaires un droit à ce que l’autorité examine la requête au fonds, y réponde ou en tienne compte. Il suffit qu’elle en prenne connaissance. Elle peut ensuite fort bien la classer. Le droit de pétition ne confère pas au particulier un droit à une prestation positive (Giorgio MALINVERNI/Michel</w:t>
      </w:r>
    </w:p>
    <w:p>
      <w:r>
        <w:t>- 19/22 - A/3530/2025 HOTTELIER/Maya HERTIG RANDALL/Alexandre FLÜCKIGER, Droit constitutionnel suisse, 4e éd. 2021, vol. 2 n. 1'634 s.).</w:t>
      </w:r>
    </w:p>
    <w:p>
      <w:r>
        <w:rPr>
          <w:b/>
        </w:rPr>
        <w:t>E. 4.5</w:t>
      </w:r>
    </w:p>
    <w:p>
      <w:r>
        <w:t>Le Conseil d’État exerce le pouvoir exécutif (art. 101 Cst-GE). Il est composé de 7 conseillères ou conseillers d’État (art. 102 Cst-GE) qui exercent librement leur mandat et rendent publics leurs liens avec des groupes d’intérêts (art. 104 Cst-GE).</w:t>
      </w:r>
    </w:p>
    <w:p>
      <w:r>
        <w:rPr>
          <w:b/>
        </w:rPr>
        <w:t>E. 4.5.1</w:t>
      </w:r>
    </w:p>
    <w:p>
      <w:r>
        <w:t>Les conseillers d’État assistent aux séances du Grand Conseil (art. 63 LRGC). Aux termes de l’art. 65 LRGC, le Conseil d’État a notamment pour compétences de : présenter des projets de lois (let. a) ; présenter des propositions de résolutions (let. b) ; présenter les rapports écrits prévus par les lois et règlements (let. c) ; faire des déclarations (let. d) ; prendre part aux discussions (let. e) ; présenter des amendements et faire toutes propositions (let. f).</w:t>
      </w:r>
    </w:p>
    <w:p>
      <w:r>
        <w:rPr>
          <w:b/>
        </w:rPr>
        <w:t>E. 4.5.2</w:t>
      </w:r>
    </w:p>
    <w:p>
      <w:r>
        <w:t>À Genève, l'activité publique s'exerce de manière transparente, conformément aux règles de la bonne foi, dans le respect du droit fédéral et du droit international (art. 9 al. 3 Cst-GE). Les membres du Grand Conseil et du Conseil d’État s’expriment librement devant le parlement. Ils n’encourent aucune responsabilité juridique pour les propos qu’ils y tiennent, sauf exceptions prévues par la loi (art. 85 Cst-GE). Les députés, les conseillers d’État et les magistrats du pouvoir judiciaire ne peuvent être poursuivis pénalement à raison des propos qu'ils tiennent ou des écrits qu'ils produisent devant le Grand Conseil ou l'une de ses commissions (art. 9 LaCP avec renvoi à l’art. 7 al. 2 let. a CPP).</w:t>
      </w:r>
    </w:p>
    <w:p>
      <w:r>
        <w:rPr>
          <w:b/>
        </w:rPr>
        <w:t>E. 4.5.3</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 même si ces règles sont conformes au but de la loi, si ce n’est dans le cadre d’une délégation valablement conférée par le législateur (ATF 147 V 328 consid. 4.2 ; 142 I 26 consid. 3.3 ; arrêt du Tribunal fédéral 2C_38/2021 du 3 mars 2021 consid. 3.2.1).</w:t>
      </w:r>
    </w:p>
    <w:p>
      <w:r>
        <w:rPr>
          <w:b/>
        </w:rPr>
        <w:t>E. 4.6</w:t>
      </w:r>
    </w:p>
    <w:p>
      <w:r>
        <w:t>En l’espèce, les recourants prétendent qu’en fournissant des informations erronées à la commission des pétitions et au Grand Conseil lors de l’étude de la pétition, l’exécutif cantonal aurait porté atteinte à leur liberté d’expression et à leur droit de pétition.</w:t>
      </w:r>
    </w:p>
    <w:p>
      <w:r>
        <w:rPr>
          <w:b/>
        </w:rPr>
        <w:t>E. 4.6.1</w:t>
      </w:r>
    </w:p>
    <w:p>
      <w:r>
        <w:t>Tout d’abord, il s’ensuit que les recourants ne contestent pas que la procédure de pétition, telle que prévue par la LPétition et la LRGC, ait été respectée. À la suite de son renvoi en commission des pétitions le 31 octobre 2024, la pétition a dûment été traitée conformément à la procédure applicable. Au cours de celle-ci, les commissaires ont pu auditionner les personnes qu’ils souhaitaient entendre, dont les recourants, avant de rendre leurs rapports tant de majorité que de minorité</w:t>
      </w:r>
    </w:p>
    <w:p>
      <w:r>
        <w:t>- 20/22 - A/3530/2025 (P 2224-A). Ce dernier soutient d’ailleurs la position des recourants, lesquels admettent eux-mêmes qu’ils n’avaient pas de droit à ce que le Grand Conseil l’adopte. Les reproches formulés n’ont donc pas trait au respect de la procédure par-devant le Grand Conseil, mais au contenu des déclarations de la conseillère d’État, principalement, devant la commission des pétitions. Cependant, conformément aux bases légales susrappelées, le Conseil d’État bénéficie d’une immunité dans l’exercice de ses fonctions (art. 85 Cst-GE), parmi lesquelles figurent celles de faire des déclarations (art. 65 let. d LRGC) et de prendre part aux discussions (art. 65 let. e LRGC), sauf exceptions prévues par la loi. Tandis qu’au titre de ses obligations, la conseillère d’État se devait de représenter le Conseil d’État lors de l’étude de la pétition par le pouvoir législatif, ce qui impliquait de faire des déclarations à ce sujet, les recourants n’indiquent pas qu’une exception à son immunité serait réalisée. À cet égard, les recourants se contentent de faire valoir que l’intéressée ne pouvait considérer certaines de leurs allégations comme incorrectes. Toutefois, les faits tendent à le confirmer. En effet, ceux-ci indiquent que, lors des diverses réponses au Grand Conseil concernant l’ECAV, le Conseil d’État avait déjà pu apporter nombre de précisions et d’informations aux députés sur des points soulevés par les recourants. Il ressort également des pièces produites, en particulier du courrier du 20 décembre 2024, qu’il est exact que la Cour des comptes n’est pas entrée en matière sur la demande concernant l’ECAV, sur la base des documents remis par cette dernière, notamment des documents budgétaires depuis 2012, contrairement à ce que prétendent les recourants. À cela s’ajoute que la conseillère d’État a également nuancé ses propos en relevant que des améliorations du cursus de l’ECAV étaient envisageables, ce dont la COJUP est actuellement en charge avec le traitement du PL 13'400, déposé plusieurs mois avant la pétition et proposant d’ores et déjà la dissolution de l’ECAV. Finalement, il ne saurait être reproché à la conseillère d’État d’avoir évoqué une certaine forme « d’acharnement » des recourants à l’encontre de l’ECAV au vu de la multitude des voies de droit qu’ils ont employées, ainsi que de la prolifération de leur correspondance et publications sur les réseaux sociaux, ressortant largement des pièces produites par leurs soins. Aucune violation du droit de pétition des recourants ne saurait dès lors être constatée.</w:t>
      </w:r>
    </w:p>
    <w:p>
      <w:r>
        <w:rPr>
          <w:b/>
        </w:rPr>
        <w:t>E. 4.6.2</w:t>
      </w:r>
    </w:p>
    <w:p>
      <w:r>
        <w:t>L’absence de violation du droit de pétition des recourants ne permet pas de retenir que leur liberté d’expression aurait été violée, dans la mesure où le fondement qu’ils invoquent à cette fin est identique à celui de la prétendue violation de leur droit de pétition. En effet, tel que retenu dans les considérants qui précèdent, les déclarations effectuées par la conseillère d’État, dans le cadre de ses fonctions,</w:t>
      </w:r>
    </w:p>
    <w:p>
      <w:r>
        <w:t>- 21/22 - A/3530/2025 lors des travaux législatifs portant sur la pétition des recourants, n’ont pas empêché ces derniers d’exprimer leur opinion à ce sujet. Il s’ensuit qu’ils ne peuvent se prévaloir d’aucune atteinte directe, concrète ni dans une mesure et avec une intensité plus grande que la généralité des administrés. À cet égard, il convient de relever que la problématique principale de la pétition et du PL 13'400, ainsi que des échanges entre les recourants et diverses autorités cantonales et fédérales, en particulier avec le Conseil d’État, concerne la dénonciation de dysfonctionnements de l’ECAV en vue de sa dissolution en faveur de la création d’un master en professions judiciaires ou, à tout le moins, d’un nouveau mode de formation des futurs avocats. Ce sujet n’apparaît pas toucher les recourants de manière spécifique. Au contraire, de par sa nature même, il a vocation à concerner les administrés de manière générale, en s’inscrivant dans le cadre de discussions politiques entre les pouvoirs législatif et exécutif. L’avenir de l’ECAV revêt donc un caractère politique prépondérant sur lequel il n’appartient pas à la chambre de céans de se prononcer. Faute de violation de leur droit de pétition et de leur liberté d’expression, ils ne peuvent invoquer aucun préjudice, condition sine qua non à l’obligation de l’autorité de rendre une décision au sens de l’art. 4A LPA. En l’absence de droit à une décision, les recourants ne peuvent se plaindre que l’intimé n’a pas donné suite à leur demande. Au vu de ce qui précède, c’est à bon droit que ce dernier l’a considérée comme irrecevable. Partant, le recours sera rejeté, dans la mesure de sa recevabilité.</w:t>
      </w:r>
    </w:p>
    <w:p>
      <w:r>
        <w:rPr>
          <w:b/>
        </w:rPr>
        <w:t>E. 5</w:t>
      </w:r>
    </w:p>
    <w:p>
      <w:r>
        <w:t>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