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ATA/253/2023 vom 14. März 2023</w:t>
      </w:r>
    </w:p>
    <w:p>
      <w:r>
        <w:t>GE Cour de justice, 2023-03-14, FR</w:t>
      </w:r>
    </w:p>
    <w:p>
      <w:r>
        <w:rPr>
          <w:b/>
        </w:rPr>
        <w:t xml:space="preserve">Quelle: </w:t>
      </w:r>
      <w:r>
        <w:t>https://mcp.opencaselaw.ch/entscheid/ge_gerichte_ATA_253_2023</w:t>
      </w:r>
    </w:p>
    <w:p>
      <w:r>
        <w:t>FR: GE_GERICHTE ATA/253/2023 du 14 mars 2023</w:t>
      </w:r>
    </w:p>
    <w:p>
      <w:r>
        <w:t>IT: GE_GERICHTE ATA/253/2023 del 14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 Le 1er janvier 2019 est entrée en vigueur une modification de la loi sur les étrangers du 16 décembre 2005 (LEtr), qui a alors été renommée LEI, et de l’OASA. Conformément à l'art. 126 LEI, les demandes déposées après le 1er janvier 2019 sont régies par le nouveau droit, ce qui est le cas en l'espèce puisque la demande d'autorisation de séjour a été formée au plus tôt le 10 mars 2020.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d'Ouzbékistan. 4.1 Une personne étrangère qui n’exerce plus d’activité lucrative peut être admise aux conditions suivantes : elle a l’âge minimum fixé par le Conseil fédéral (art. 28 let. a LEI), elle a des liens personnels particuliers avec la Suisse (let. b) et elle dispose des moyens financiers nécessaires (let. c). Les conditions spécifiées à l'art. 28 LEI étant cumulatives, une autorisation de séjour pour personne rentière ne saurait être délivrée que si la personne étrangère satisfait à chacune d'elles. Par ailleurs, même dans l'hypothèse où toutes les conditions prévues à l'art. 28 LEI (disposition rédigée en la forme potestative ou « Kann-Vorschrift ») seraient réunies, la personne étrangère n'a pas un droit à la délivrance (ou à la prolongation) d'une autorisation de séjour, à moins qu'elle ne puisse se prévaloir d'une disposition particulière du droit fédéral ou d'un traité lui conférant un tel droit. Lorsque tel n'est pas le cas, les autorités disposent donc d'un large pouvoir d'appréciation (arrêts du Tribunal administratif fédéral [ci-après : TAF] F-4128/2020 du 20 décembre 2021 consid. 6.2 ; F-4271/2017 du</w:t>
      </w:r>
    </w:p>
    <w:p>
      <w:r>
        <w:rPr>
          <w:b/>
        </w:rPr>
        <w:t>E. 6</w:t>
      </w:r>
    </w:p>
    <w:p>
      <w:r>
        <w:t>juin 2019 consid. 7.2).</w:t>
      </w:r>
    </w:p>
    <w:p>
      <w:r>
        <w:t>- 6/17 - A/3132/2021 4.2 L’âge minimum pour l’admission des rentières et rentiers est de 55 ans (art. 25 al. 1 OASA). Les personnes rentières ont des attaches personnelles particulières avec la Suisse notamment : lorsqu’elles peuvent prouver qu’elles ont effectué dans le passé des séjours assez longs en Suisse, notamment dans le cadre de vacances, d’une formation ou d’une activité lucrative (let. a), lorsqu’elles ont des relations étroites avec des parents proches en Suisse (parents, enfants, petits-enfants ou frères et sœurs ; let. b ; art. 25 al. 2 OASA). Elles ne sont pas autorisées à exercer une activité lucrative en Suisse ou à l’étranger, à l’exception de la gestion de leur propre fortune (art. 25 al. 3 OASA). Les moyens financiers sont suffisants lorsqu’ils dépassent le montant qui autorise une citoyenne ou un citoyen suisse et éventuellement les membres de sa famille à percevoir des prestations complémentaires conformément à la loi sur les prestations complémentaires à l'assurance-vieillesse et survivants et à l'assurance-invalidité du 6 octobre 2006 (loi sur les prestations complémentaires - LPC - RS 831.30 ; art. 25 al. 4 OASA). 4.3 Eu égard à l'adverbe « notamment » (« insbesondere » ou « in particolare ») figurant dans l'art. 25 al. 2 OASA, les deux exemples cités aux lettres a et b ne sont ni exhaustifs, ni limitatifs. Ils ne sont pas d'avantage contraignants et s'apprécient librement (arrêt du TAF F-4128/2020 précité consid. 6.3). Selon la jurisprudence du TAF sur la notion de liens personnels particuliers avec la Suisse, au sens de l'art. 28 let. b LEI et de l'art. 25 al. 2 let. a et b OASA, la simple présence de proches sur le territoire suisse n'est en soi pas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la personne rentière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la personne intéressée ne tombe dans un rapport de dépendance vis-à-vis de ses proches parents, voire d'isolement, ce qui serait au demeurant contraire au but souhaité par le législateur quant à la nature de l'autorisation pour rentière ou rentier (arrêts du TAF F-2207/2018 du 15 février 2019 consid. 6.6 ; C-4356/2014 du 21 décembre 2015 consid. 4.4.4 ss). Ainsi, l'art. 28 LEI n'a pas vocation à permettre le regroupement familial en ligne ascendante lorsque la personne rentière n'a d'autres liens avec la Suisse que ceux qu'elle entretient avec ses descendantes et descendants qui y résident (arrêt du TAF C-4356/2014 précité consid. 4.4.8 et 4.4.9) 4.4 Une personne rentière est réputée disposer des moyens financiers nécessaires si ceux-ci dépassent le montant donnant droit (à une résidente ou un résident</w:t>
      </w:r>
    </w:p>
    <w:p>
      <w:r>
        <w:t>- 7/17 - A/3132/2021 suisse) au versement de prestations complémentaires pour elle-même et éventuellement pour les membres de sa famille. Autrement dit, elle devra être quasiment certaine d’en bénéficier jusqu’à sa mort (rentes, fortune), au point que l'on puisse pratiquement exclure le risque qu’elle en vienne à dépendre de l'assistance publique. Les promesses, voire les garanties écrites, visant à garantir la prise en charge du rentier faites par des membres de sa famille qui résident dans notre pays ne suffisent pas dans tous les cas, dans la mesure où, en pratique, leur mise à exécution reste sujette à caution. Les moyens financiers mis à disposition par des personnes tierces doivent présenter les mêmes garanties que s’il s’agissait des propres ressources du requérant (par ex. garantie bancaire). Lorsque les moyens financiers de la personne rentière sont insuffisants, les exigences qualitatives quant aux prestations de soutien par des personnes tierces sont d'autant plus élevées (arrêt du TAF C-6310/2009 du 14 janvier 2013 consid. 9.2.1 ss ; secrétariat d'État aux migrations [ci-après : SEM], Directives et commentaires, Domaine des étrangers, octobre 2013, état au 1er mars 2023 [ci-après : directives LEI], ch. 5.3). 4.5 En l'espèce, l'instance précédente et l'autorité intimée ont retenu que tant la condition des liens personnels particuliers avec la Suisse que celle des moyens financiers n'étaient pas réalisées. Le seul lien de la recourante avec la Suisse est en effet la présence de sa fille à Genève, ce qui, selon la jurisprudence citée plus haut, n'est pas suffisant pour remplir la condition posée par l'art. 28 let. b LEI. Quant à ses moyens financiers, elle allègue ne toucher qu'une rente de moins de CHF 50.- par mois, ce qui est tout à fait insuffisant au regard de l'art. 25 al. 4 OASA. L'argumentation de la recourante relève plus du regroupement familial quant à sa volonté de vivre à Genève, où se trouvent sa fille et son gendre, et du cas individuel d'extrême gravité par rapport à sa situation en cas de retour en Ouzbékistan, que du cas de la personne rentière pouvant se prévaloir de liens personnels particuliers avec la Suisse, étant encore relevé que si la recourante était autorisée à séjourner en Suisse, elle serait totalement dépendante de ses parents et alliés, ce qui va à l'encontre du but de l'art. 28 LEI (arrêt du TAF C-4356/2014 précité consid. 5.2.2). Le jugement attaqué ne prête donc pas le flanc à la critique en tant qu'il confirme le refus d'une autorisation de séjour au sens de l'art. 28 LEI. 5. La recourante revendique également une autorisation de séjour pour cas d'extrême gravité. 5.1 Aux termes de l'art. 30 al. 1 let. b LEI, il est possible de déroger aux conditions d'admission (art. 18 à 29 LEI) notamment dans le but de tenir compte des cas individuels d'une extrême gravité ou d'intérêts publics majeurs.</w:t>
      </w:r>
    </w:p>
    <w:p>
      <w:r>
        <w:t>- 8/17 - A/3132/2021 5.2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w:t>
      </w:r>
    </w:p>
    <w:p>
      <w:r>
        <w:rPr>
          <w:b/>
        </w:rPr>
        <w:t>E. 6.1</w:t>
      </w:r>
    </w:p>
    <w:p>
      <w:r>
        <w:t>Une personne étrangère peut se prévaloir de l'art. 8 CEDH pour s'opposer à l'éventuelle séparation de sa famille. Pour qu'elle puisse invoquer la protection de la vie familiale découlant de cette disposition, la personne étrangère doit entretenir une relation étroite et effective avec une personne de sa famille ayant le droit de résider durablement en Suisse (ATF 139 I 330 consid. 2.1 ; 137 I 284 consid. 1.3 ; ATA/384/2016 du 3 mai 2016 consid. 4d). Les relations familiales qui peuvent fonder, en vertu de l'art. 8 § 1 CEDH, un droit à une autorisation de police des étrangères et étrangers sont avant tout les rapports entre époux ainsi qu'entre parents et enfants mineurs vivant ensemble (ATF 135 I 143 consid. 1.3.2 ; arrêt du Tribunal fédéral 2C_899/2014 du 3 avril 2015 consid. 3.1). Une personne étrangère majeure ne peut se prévaloir d'une telle protection que si elle se trouve dans un état de dépendance particulier par rapport à un parent au bénéfice d'un droit de présence assuré en Suisse, en raison par exemple d'un handicap ou d'une maladie grave (ATF 137 I 154 consid. 3.4.2 ; 129 II 11 consid. 2 ; arrêts du Tribunal fédéral 2C_1153/2014 du</w:t>
      </w:r>
    </w:p>
    <w:p>
      <w:r>
        <w:rPr>
          <w:b/>
        </w:rPr>
        <w:t>E. 6.2</w:t>
      </w:r>
    </w:p>
    <w:p>
      <w:r>
        <w:t>En l'espèce, on ne peut retenir en l'état que la recourante souffrirait d'une maladie grave nécessitant une prise en charge permanente qui ne pourrait être assurée que par sa famille vivant en Suisse, quand bien même sa condition médicale est susceptible de se détériorer à teneur du certificat médical qu'elle a produit. Dans ces circonstances, la recourante ne peut pas se prévaloir de l'art. 8 CEDH pour obtenir la délivrance d'une autorisation de séjour, ce qu'ont à bon droit constaté l'autorité intimée et le TAPI. 7. Enfin, la recourante revendique à titre subsidiaire d'être mise au bénéfice d'une admission provisoire. 7.1 Selon l'art. 64 al. 1 let. c LEI, toute personne étrangère dont l'autorisation est refusée, révoquée ou qui n'est pas prolongée après un séjour autorisé est renvoyée. La décision de renvoi est assortie d'un délai de départ raisonnable (art. 64 let. d al. 1 LEI). 7.2 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w:t>
      </w:r>
    </w:p>
    <w:p>
      <w:r>
        <w:t>- 13/17 - A/3132/2021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 7.3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(arrêt du TAF E-3320/2016 du 6 juin 2016). Ainsi, si les soins essentiels nécessaires peuvent être assurés dans le pays d'origine de la personne étrangère concernée, l'exécution du renvoi sera raisonnablement exigible. Elle ne le sera plus, en raison de l'absence de possibilités de traitement adéquat, si l'état de santé de la personne concernée se dégradait très rapidement au point de conduire d'une manière certaine à la mise en danger concrète de sa vie ou à une atteinte sérieuse, durable, et notablement plus grave de son intégrité physique (arrêt du TAF E-2693/2016 du 30 mai 2016 consid. 4.1 ; ATA/707/2020 du 4 août 2020 consid. 18b). 7.4 En l'espèce, comme déjà examiné, on ne peut retenir en l'état que l'état de santé de la recourante est susceptible de se dégrader très rapidement au point de conduire d'une manière certaine à la mise en danger concrète de sa vie ou à une atteinte sérieuse, durable, et notablement plus grave de son intégrité physique. Quant à son isolement en cas de retour dans son pays d'origine, il s'agit d'une situation pouvant toucher n'importe quelle personne âgée, y compris en Suisse. Au vu de ce qui précède, il ne ressort pas du dossier que l'exécution du renvoi de la recourante serait impossible, illicite ou inexigible. Dans ces circonstances, la décision de l'OCPM est conforme au droit et le recours contre le jugement du TAPI, entièrement mal fondé, sera rejeté.</w:t>
      </w:r>
    </w:p>
    <w:p>
      <w:r>
        <w:t>- 14/17 - A/3132/2021 8. Vu l'issue du litige, un émolument de CHF 400.- sera mis à la charge de la recourante (art. 87 al. 1 LPA), et il ne sera pas alloué d'indemnité de procédure (art. 87 al. 2 LPA).</w:t>
      </w:r>
    </w:p>
    <w:p>
      <w:r>
        <w:t>* * * * *</w:t>
      </w:r>
    </w:p>
    <w:p>
      <w:r>
        <w:rPr>
          <w:b/>
        </w:rPr>
        <w:t>E. 9</w:t>
      </w:r>
    </w:p>
    <w:p>
      <w:r>
        <w:t>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ATA/163/2020 du 11 février 2020 consid. 7b).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5.3 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précité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w:t>
      </w:r>
    </w:p>
    <w:p>
      <w:r>
        <w:t>- 9/17 - A/3132/2021 5.4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LEI, ch. 5.6.10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5.5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w:t>
      </w:r>
    </w:p>
    <w:p>
      <w:r>
        <w:t>- 10/17 - A/3132/2021 justifieraient une exception (ATF 130 II 39 consid. 3 ; 124 II 110 consid. 3 ; arrêts du Tribunal fédéral 2C_754/2018 du 28 janvier 2019 consid. 7.2 ; 2A_718/2006 du 21 mars 2007 consid. 3).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TAF C-5414/2013 du 30 juin 2015 consid. 5.1.4 ; C-6379/2012 et C-6377/2012 du 17 novembre 2014 consid. 4.3). La jurisprudence requiert, de manière générale, une très longue durée de séjour en Suisse (Minh SON NGUYEN/Cesla AMARELLE, Code annoté de droit des migrations, LEtr, volume 2, 2017, p. 269 et les références citées). Par durée assez longue, la jurisprudence entend une période de sept à huit ans (arrêt du TAF C-7330/2010 du 19 mars 2012 consid. 5.3 ; Minh SON NGUYEN/ Cesla AMARELLE, op. cit., p. 269).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5.6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ATA/1279/2019 du 27 août 2019 consid. 5f).</w:t>
      </w:r>
    </w:p>
    <w:p>
      <w:r>
        <w:t>- 11/17 - A/3132/2021 En l'absence de liens d'une certaine intensité avec la Suisse, l'aspect médical et les éventuelles difficultés de réintégration de la personne concernée dans le pays d'origine ne sauraient justifier, à eux seuls, l'octroi d'un permis humanitaire pour cas de rigueur. Le cas échéant, ces critères ne peuvent en effet être pris en considération que dans le cadre de l'examen de la licéité et de l'exigibilité de l'exécution du renvoi (arrêt du TAF F-4125/2016 du 26 juillet 2017 consid. 5.4.1 ; ATA/41/2022 du 18 janvier 2022 consid. 9). 5.7 En l'espèce, la recourante est arrivée en Suisse en janvier 2020, soit il y a moins de trois ans et demi, et son séjour a été effectué sans autorisation puis par la tolérance des autorités cantonales. La durée de son séjour en Suisse ne peut ainsi être considérée comme longue au sens de la jurisprudence susmentionnée et doit en outre être relativisée. S'agissant de son intégration, comme vu précédemment, la recourante ne peut pas se prévaloir de liens particuliers avec la Suisse et ne peut a fortiori pas non plus se prévaloir d'une intégration exceptionnelle au sens de la jurisprudence susmentionnée. Son niveau de langue n'est pas documenté, mais elle n'allègue pas savoir parler français. Par ailleurs, la recourante a vécu toute sa vie en Ouzbékistan jusqu'à ses 62 ans. Elle a ainsi passé toute son enfance, son adolescence et sa vie d'adulte dans ce pays, dont elle connaît les us et coutumes et parle la langue. En outre, s'il est compréhensible que la recourante, aujourd'hui âgée de 65 ans, ne souhaite plus vivre seule, cela ne justifie pas encore une exception aux mesures de limitation. Les attestations médicales versées à la procédure ne dénotent pas l'existence d'une sérieuse atteinte à la santé qui nécessiterait, pendant une longue période, des soins permanents ou des mesures médicales ponctuelles d'urgence indisponibles dans son pays d'origine ; ceci d'autant plus que la fille et le gendre de la recourante, qui se sont dits prêts à assumer ses frais d'assurance-maladie en cas de séjour durable en Suisse, peuvent contribuer à ce que la recourante puisse bénéficier d'un suivi médical adéquat en Ouzbékistan, pays dont il n'est pas allégué qu'il ne pourrait prodiguer des soins en cas de dépression ou de déficit cognitif de la personne âgée. Enfin, au vu de la présence relativement récente de la recourante en Suisse, on peut se demander si elle ne présentait pas déjà les mêmes problèmes de santé lors de son arrivée en 2020. Au vu de ce qui précède et de l'ensemble des circonstances du cas d'espèce, il apparaît que l'autorité intimée et le TAPI ont à juste titre retenu que la recourante ne remplissait pas les conditions d'octroi d'une autorisation de séjour au sens de l'art. 30 al. 1 let. b LEI et 31 OASA.</w:t>
      </w:r>
    </w:p>
    <w:p>
      <w:r>
        <w:t>- 12/17 - A/3132/2021 6. La recourante invoque également le droit au respect de sa vie privée et familiale, garantie notamment par l'art. 8 de la Convention de sauvegarde des droits de l’homme et des libertés fondamentales du 4 novembre 1950 (CEDH - RS 0.101).</w:t>
      </w:r>
    </w:p>
    <w:p>
      <w:r>
        <w:rPr>
          <w:b/>
        </w:rPr>
        <w:t>E. 11</w:t>
      </w:r>
    </w:p>
    <w:p>
      <w:r>
        <w:t>mai 2015 consid. 5.3 ; 2C_251/2015 du 24 mars 2015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