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ATA/253/2015 vom 6. März 2015</w:t>
      </w:r>
    </w:p>
    <w:p>
      <w:r>
        <w:t>GE Cour de justice, 2015-03-06, FR</w:t>
      </w:r>
    </w:p>
    <w:p>
      <w:r>
        <w:rPr>
          <w:b/>
        </w:rPr>
        <w:t xml:space="preserve">Quelle: </w:t>
      </w:r>
      <w:r>
        <w:t>https://mcp.opencaselaw.ch/entscheid/ge_gerichte_ATA_253_2015</w:t>
      </w:r>
    </w:p>
    <w:p>
      <w:r>
        <w:t>FR: GE_GERICHTE ATA/253/2015 du 6 mars 2015</w:t>
      </w:r>
    </w:p>
    <w:p>
      <w:r>
        <w:t>IT: GE_GERICHTE ATA/253/2015 del 6 marzo 2015</w:t>
      </w:r>
    </w:p>
    <w:p>
      <w:pPr>
        <w:pStyle w:val="Heading2"/>
      </w:pPr>
      <w:r>
        <w:t>Erwägungen</w:t>
      </w:r>
    </w:p>
    <w:p>
      <w:r>
        <w:rPr>
          <w:b/>
        </w:rPr>
        <w:t>E. 27</w:t>
      </w:r>
    </w:p>
    <w:p>
      <w:r>
        <w:t>février 2014 consid. 5.5.1).</w:t>
      </w:r>
    </w:p>
    <w:p>
      <w:r>
        <w:t>b. Pour effectuer la pesée des intérêts en présence, l'autorité de recours n'est pas tenue de procéder à des investigations supplémentaires, mais peut statuer sur la base</w:t>
      </w:r>
    </w:p>
    <w:p>
      <w:r>
        <w:t>- 6/7 - A/372/2015 des pièces en sa possession (ATF 117 V 185 consid. 2b ; arrêt du Tribunal fédéral 1C_435/2008 du 6 février 2009 consid. 2.3 et les arrêts cités). 8)</w:t>
      </w:r>
    </w:p>
    <w:p>
      <w:r>
        <w:t>En l’espèce, le DSE fait valoir l’intérêt public à la préservation des finances de l’État, au vu de l’incertitude quant à la capacité du demandeur à rembourser les mois de traitement qui lui seraient versé en cas de confirmation - qu’il estime fort probable - de la décision querellée.</w:t>
      </w:r>
    </w:p>
    <w:p>
      <w:r>
        <w:t>M. A______ fait valoir son intérêt à continuer à exercer son activité professionnelle afin de ne pas subir les effets notamment psychologiques, de son licenciement jusqu’à droit connu, relevant qu’il avait toujours effectué son travail à la satisfaction de sa hiérarchie.</w:t>
      </w:r>
    </w:p>
    <w:p>
      <w:r>
        <w:t>Si l’intérêt privé du demandeur à pouvoir exercer une activité professionnelle n’est pas négligeable, il doit néanmoins céder le pas à l’intérêt public à la préservation des finances de l’État, conformément à la jurisprudence constante de la chambre de céans (ATA/991/2014 du 15 décembre 2014 ; ATA/525/2014 du 4 juillet 2014 et les références citées). Il y a en effet une incertitude quant à la capacité de M. A______ à rembourser les traitements perçus en cas de confirmation de la décision querellée, alors que l’État de Genève serait à même de verser les montants dus en cas d’issue favorable du recours, et cela même si la cause ne pouvait être tranchée rapidement en raison des mesures d’instruction ordonnées d’office ou à la demande des parties ou encore d’une mesure de suspension dans l’attente des suites données par le Ministère public à la dénonciation de la Cheffe de la police. 9)</w:t>
      </w:r>
    </w:p>
    <w:p>
      <w:r>
        <w:t>Au vu de ce qui précède, la demande de restitution de l’effet suspensif sera refusée, le sort des frais de la procédure étant réservé jusqu’à droit jugé au fond. LA CHAMBRE ADMINISTRATIVE refuse la restitution de l’effet suspensif au recours de Monsieur A______ contre la décision du conseiller d’État en charge du département de la sécurité et de l’économie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- 7/7 - A/372/2015 communique la présente décision, en copie, à Me Pascal Junod, avocat du recourant ainsi qu'au département de la sécurité et de l'économie.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