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ATA/253/2013 vom 23. April 2013</w:t>
      </w:r>
    </w:p>
    <w:p>
      <w:r>
        <w:t>GE Cour de justice, 2013-04-23, FR</w:t>
      </w:r>
    </w:p>
    <w:p>
      <w:r>
        <w:rPr>
          <w:b/>
        </w:rPr>
        <w:t xml:space="preserve">Quelle: </w:t>
      </w:r>
      <w:r>
        <w:t>https://mcp.opencaselaw.ch/entscheid/ge_gerichte_ATA_253_2013</w:t>
      </w:r>
    </w:p>
    <w:p>
      <w:r>
        <w:t>FR: GE_GERICHTE ATA/253/2013 du 23 avril 2013</w:t>
      </w:r>
    </w:p>
    <w:p>
      <w:r>
        <w:t>IT: GE_GERICHTE ATA/253/2013 del 23 aprile 2013</w:t>
      </w:r>
    </w:p>
    <w:p>
      <w:pPr>
        <w:pStyle w:val="Heading2"/>
      </w:pPr>
      <w:r>
        <w:t>Regeste</w:t>
      </w:r>
    </w:p>
    <w:p>
      <w:r>
        <w:t>Résumé: L'exploitant d'un établissement soumis à la LRDBH a la responsabilité de minimiser les nuisances à proximité. Il se trouve que la Vielle-Ville est un secteur très fréquenté dont la configuration des bâtiments et des rues favorise les nuisances sonores. La Grand-Rue abritant de nombreux cafés-restaurants, elle est particulièrement touchée. L'autorisation de prolongation de l'horaire d'exploitation limitée à trois mois permet ainsi au Scom de vérifier régulièrement si l'établissement situé dans ce secteur respecte ses obligations légales. C'est une mesure adéquate, nécessaire et proportionnée au but à atteindre qui est la sauvegarde de l'ordre public.</w:t>
      </w:r>
    </w:p>
    <w:p>
      <w:pPr>
        <w:pStyle w:val="Heading2"/>
      </w:pPr>
      <w:r>
        <w:t>Erwägungen</w:t>
      </w:r>
    </w:p>
    <w:p>
      <w:r>
        <w:rPr>
          <w:b/>
        </w:rPr>
        <w:t>E. 17</w:t>
      </w:r>
    </w:p>
    <w:p>
      <w:r>
        <w:t>février 2009 ; ATA/208/2005 du 12 avril 2005 ; R. MAHLER, Réflexions sur la qualité pour recourir en droit administratif genevois, in RDAF 1982, pp. 272 ss, not. 274).</w:t>
      </w:r>
    </w:p>
    <w:p>
      <w:r>
        <w:t>- 5/10 - A/717/2012</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(ATA/193/2013 du 26 mars 2013 ; ATA/343/2012 du 5 juin 2012 ; ATA/98/2012 du 21 février 2012 et les références citées). L'exemple le plus évident concerne la partie à la procédure qui a obtenu le plein de ses conclusions au stade antérieur de la procédure, et n'est dès lors pas lésée par la décision ou le jugement de première instance (ATA/68/2012 du 31 janvier 2012 consid. 2).</w:t>
      </w:r>
    </w:p>
    <w:p>
      <w:r>
        <w:t>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 P. MOOR, Droit administratif, vol. II, 2e éd., Berne 2002, ch. 5.6.2.1, p. 627).</w:t>
      </w:r>
    </w:p>
    <w:p>
      <w:r>
        <w:t>c.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ATA/343/2012 précité ; ATA/192/2009 du 21 avril 2009 ; ATA/195/2007 du 24 avril 2007 ; ATA/640/2005 du 27 septembre 2005).</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w:t>
      </w:r>
    </w:p>
    <w:p>
      <w:r>
        <w:t>- 6/10 - A/717/2012 120 Ia 165 consid. 1a p. 166 et les références citées ; ATA/328/2009 du 30 juin 2009 consid. 3 ; ATA/192/2009 du 21 avril 2009).</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 3)</w:t>
      </w:r>
    </w:p>
    <w:p>
      <w:r>
        <w:t>En l'espèce, l'autorisation contestée, d’une durée limitée dans le temps, a cessé de déployer ses effets trois mois après sa notification, soit courant mai 2012. Toutefois, l’autorisation est renouvelable chaque trimestre. Le cas litigieux peut ainsi se présenter à nouveau sans que la chambre de céans puisse trancher à temps, la durée d’une telle autorisation étant trop brève. Il convient dès lors de renoncer à l'exigence de l'intérêt actuel au recours. 4)</w:t>
      </w:r>
    </w:p>
    <w:p>
      <w:r>
        <w:t>En outre, la recourante est directement touchée par la décision querellée et répond à l’exigence de l’intérêt digne de protection requis par l’article 60 al. 1 let. b LPA. 5)</w:t>
      </w:r>
    </w:p>
    <w:p>
      <w:r>
        <w:t>Compte tenu de ce qui précède, cette dernière rempli manifestement les conditions de la qualité pour recourir. 6)</w:t>
      </w:r>
    </w:p>
    <w:p>
      <w:r>
        <w:t>La recourante conteste la limitation à trois mois de l’autorisation de prolonger l’horaire d’exploitation de son établissement jusqu’à 02h00. Cette limitation créerait une incertitude quant à l’avenir professionnel de ses employés et empêcherait la planification d’événements spéciaux.</w:t>
      </w:r>
    </w:p>
    <w:p>
      <w:r>
        <w:t>a. L’exploitation à titre onéreux d’établissements voués à la restauration et au début de boissons à consommer sur place est soumis à l’obtention préalable d’une autorisation délivrée par le département des affaires régionales et de la santé, soit pour lui le Scom (art. 4 LRDBH ; art. 1 al. 2 et 2 let. a du règlement d’exécution de la loi sur la restauration, le débit de boissons et l’hébergement du 31 août 1988 (RRDBH - RS I 2 21.01).</w:t>
      </w:r>
    </w:p>
    <w:p>
      <w:r>
        <w:t>L’art. 2 LRDBH prévoit que toute autorisation prévue par la LRDBH ne peut être délivrée que si l’établissement n’est pas susceptible de troubler l’ordre public, en particulier la tranquillité, la santé et la moralité publiques, du fait de son propriétaire ou de son exploitant, ainsi qu’en raison de sa construction, de son aménagement, de son implantation.</w:t>
      </w:r>
    </w:p>
    <w:p>
      <w:r>
        <w:t>- 7/10 - A/717/2012</w:t>
      </w:r>
    </w:p>
    <w:p>
      <w:r>
        <w:t>Selon l’art. 18 let. A LRDBH, les cafés-restaurants peuvent être ouverts de 04h00 à 24h00. Sur demande de l'exploitant propriétaire de l'établissement, respectivement de l'exploitant et du propriétaire de l'établissement, le département peut prolonger l'horaire d'exploitation jusqu'à 02h00, quel que soit le jour de la semaine, pour autant que l'établissement assure un service de restauration chaude. Les autorisations de prolongation d'horaire sont annuelles, trimestrielles, mensuelles ou ponctuelles.</w:t>
      </w:r>
    </w:p>
    <w:p>
      <w:r>
        <w:t>Il doit exploiter l’établissement de manière à ne pas engendrer d’inconvénients graves pour le voisinage (art. 22 al. 2 LRDBH). Si l’ordre est sérieusement troublé ou menace de l’être, que ce soit à l’intérieur de l’établissement ou dans ses environs immédiats, il doit faire appel à la police (art. 22 al. 3 LRDBH).</w:t>
      </w:r>
    </w:p>
    <w:p>
      <w:r>
        <w:t>b. Les intérêts des riverains bénéficient d’une protection qui, conformément à la jurisprudence, doit être soulignée. L’article 8 de la Convention européenne de protection des droits de l’homme et des libertés fondamentales (CEDH - RS 0.101), dont la teneur correspond à l’article 13 Cst., protège en effet le droit de l’individu au respect de sa vie privée et familiale, en particulier dans le cadre du domicile. Le domicile se présente en effet comme le lieu privilégié, l’espace physiquement déterminé où se développe la vie privée et familiale. Dans cette mesure, l’individu a droit au respect de son domicile conçu non seulement comme le droit à un simple espace physique, mais aussi comme celui à la jouissance, en toute tranquillité, dudit espace. Les restrictions opposables à cette garantie ne visent pas seulement les atteintes matérielles ou corporelles, telles que l’entrée dans le domicile d’une personne non autorisée, mais aussi les atteintes immatérielles ou incorporelles, telles que les bruits, les émissions, les odeurs ou autres ingérences. Les atteinte graves peuvent avoir pour effet de priver une personne de son droit au respect du domicile parce qu’elles l’empêchent de jouir de celui-ci (ATA/23/2007 du 23 janvier 2007 consid. 11c).</w:t>
      </w:r>
    </w:p>
    <w:p>
      <w:r>
        <w:t>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T. TANQUEREL, Manuel de droit administratif, 2011, p. 187).</w:t>
      </w:r>
    </w:p>
    <w:p>
      <w:r>
        <w:t>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w:t>
      </w:r>
    </w:p>
    <w:p>
      <w:r>
        <w:t>- 8/10 - A/717/2012 le principe de la proportionnalité (ATF 126 I 133, Journal des tribunaux 2001 I p. 787 ; cf. aussi ATA/27/2004 du 13 janvier 2004 ; ATA/69/2004 du 20 janvier 2004).</w:t>
      </w:r>
    </w:p>
    <w:p>
      <w:r>
        <w:t>S’agissant plus particulièrement du bruit, le Tribunal fédéral a eu l’occasion de préciser que les mesures de limitation des émissions de bruit des établissements publics sont généralement ordonnées à l’occasion de la procédure d’octroi de l’autorisation de construire ou d’exploiter. L’autorité peut alors, sur la base d’une pesée complète des intérêts en jeu et en appliquant le droit fédéral de la protection de l’environnement, fixer les horaires et autres conditions d’exploitation (ATF 1A.233/2002 du 23 janvier 2004, consid. 2.3).</w:t>
      </w:r>
    </w:p>
    <w:p>
      <w:r>
        <w:t>L’appréciation doit prendre en compte les bruits générés par le comportement des clients, le moment où ils se produisent, leur fréquence, de manière à ne pas provoquer davantage que des dérangements aussi réduits que possible durant la nuit. S’il apparaît assurément disproportionné de fixer des restrictions d’exploitation propres à éviter toute perturbation pour les voisins durant la nuit, il faut au moins veiller à ce que cela ne provoque pas de gêne excessive (ATF 130 II 36 consid. 2 ; ATA/23/2007 du 23 janvier 2007 consid.12c)</w:t>
      </w:r>
    </w:p>
    <w:p>
      <w:r>
        <w:t>Une violation de l’art. 22 LRDBH peut être fondée sur le fait que l’exploitant n’a pas pris les mesures nécessaires pour contenir sa clientèle ou pour en atténuer le bruit, par exemple en fermant la porte et en invitant ses clients à modérer leur enthousiasme (ATA/627/2011 du 4 octobre 2011 ; ATA/146/1999 du 2 mars 1999).</w:t>
      </w:r>
    </w:p>
    <w:p>
      <w:r>
        <w:t>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 (Mémorial des séances du Grand Conseil, 1987 V p. 6426 ; ATA/627/2011 du 4 octobre 2011). 7)</w:t>
      </w:r>
    </w:p>
    <w:p>
      <w:r>
        <w:t>En l’espèce, le café-restaurant « U______ » est soumis à la LRDBH, conformément à l’art. 16 al. 1 let. A LRDBH.</w:t>
      </w:r>
    </w:p>
    <w:p>
      <w:r>
        <w:t>Sur le fond, le litige porte essentiellement sur la reconnaissance d'un intérêt privé prépondérant qui justifierait la délivrance d’une autorisation de prolongation d’horaire jusqu’à 02h00 pour la durée maximale légale, soit une année.</w:t>
      </w:r>
    </w:p>
    <w:p>
      <w:r>
        <w:t>Les intérêts invoqués par la recourante pour contester la durée de l’autorisation de prolongation d’horaire en cause sont la sécurité d’emploi de ses</w:t>
      </w:r>
    </w:p>
    <w:p>
      <w:r>
        <w:t>- 9/10 - A/717/2012 salariés et le fait de pouvoir prévoir à l’avance des événements spéciaux. Il convient donc d'examiner si la décision d’autorisation querellée, fondée sur la protection de l’ordre public, était apte à atteindre le but fixé, nécessaire mais aussi raisonnable.</w:t>
      </w:r>
    </w:p>
    <w:p>
      <w:r>
        <w:t>Comme relevé précédemment, les bruits de comportement directement liés à l'exploitation de l'installation, même à l’extérieur de celui-ci, doivent être pris en considération.</w:t>
      </w:r>
    </w:p>
    <w:p>
      <w:r>
        <w:t>En l’occurrence, il est difficile d’isoler de tels comportements et pouvoir imputer les nuisances à un seul établissement. Il serait en effet injuste de stigmatiser un établissement en particulier du seul fait que des personnes se trouvant ou passant aux abords de ce celui-ci ont un comportement irrespectueux et contraire à l’ordre public. Dans son rapport, le SPBR confirme d’ailleurs qu’il n’est pas possible de distinguer le degré de nuisances attribuable à chaque établissement. Il se trouve que la Vielle-Ville est un secteur très fréquenté dont la configuration des bâtiments et des rues favorise les nuisances sonores. La G______ abritant de nombreux cafés-restaurants, elle est ainsi particulièrement touchée. Néanmoins, les exploitants ont la responsabilité de minimiser ces nuisances à proximité de leur établissement. Malgré les efforts de la recourante, il y a eu des plaintes et deux rapports de police, en septembre et en novembre 2011, contre son établissement pour inconvénients graves pour le voisinage.</w:t>
      </w:r>
    </w:p>
    <w:p>
      <w:r>
        <w:t>Le Scom a ainsi limité l’autorisation de prolongation de l’horaire d’exploitation à trois mois, ce qui lui permet de vérifier régulièrement si « U______ » respecte ses obligations légales. L’autorisation précitée est une mesure adéquate, nécessaire et proportionnée au but à atteindre qui est la sauvegarde de l’ordre public.</w:t>
      </w:r>
    </w:p>
    <w:p>
      <w:r>
        <w:t>En définitive, il apparaît que le Scom a pris en considération les éléments pertinents et qu'il n'a pas mésusé de la latitude de jugement que lui reconnaît la législation. Les griefs de la recourante sont donc mal fondés. 8)</w:t>
      </w:r>
    </w:p>
    <w:p>
      <w:r>
        <w:t>Au vu de ce qui précède, le recours sera rejeté. Un émolument de CHF 1’000.- sera mis à la charge de la recourante et aucune indemnité de procédure ne sera allouée (art. 87 LPA).</w:t>
      </w:r>
    </w:p>
    <w:p>
      <w:r>
        <w:t>* * * *</w:t>
      </w:r>
    </w:p>
    <w:p>
      <w:r>
        <w:t>- 10/10 - A/717/2012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