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ATA/250/2011 vom 14. April 2011</w:t>
      </w:r>
    </w:p>
    <w:p>
      <w:r>
        <w:t>GE Cour de justice, 2011-04-14, FR</w:t>
      </w:r>
    </w:p>
    <w:p>
      <w:r>
        <w:rPr>
          <w:b/>
        </w:rPr>
        <w:t xml:space="preserve">Quelle: </w:t>
      </w:r>
      <w:r>
        <w:t>https://mcp.opencaselaw.ch/entscheid/ge_gerichte_ATA_250_2011</w:t>
      </w:r>
    </w:p>
    <w:p>
      <w:r>
        <w:t>FR: GE_GERICHTE ATA/250/2011 du 14 avril 2011</w:t>
      </w:r>
    </w:p>
    <w:p>
      <w:r>
        <w:t>IT: GE_GERICHTE ATA/250/2011 del 14 aprile 2011</w:t>
      </w:r>
    </w:p>
    <w:p>
      <w:pPr>
        <w:pStyle w:val="Heading2"/>
      </w:pPr>
      <w:r>
        <w:t>Erwägungen</w:t>
      </w:r>
    </w:p>
    <w:p>
      <w:r>
        <w:rPr>
          <w:b/>
        </w:rPr>
        <w:t>E. 1</w:t>
      </w:r>
    </w:p>
    <w:p>
      <w:r>
        <w:t>Interjeté le 7 avril 2011 contre le jugement du TAPI, prononcé et notifié le 31 mars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8 avril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L’étranger qui a fait l’objet d’une décision de renvoi peut être mis en détention administrative lorsque sont réalisées l’une ou l’autre des conditions de l’art. 76 al. 1 let. b LEtr.</w:t>
      </w:r>
    </w:p>
    <w:p>
      <w:r>
        <w:t>b. Tel est le cas si un étranger a fait l’objet de la part de l’ODM d’une décision de non entrée en matière au sens de l’art. 32 al. 2 let. a à c LAsi (art. 76 al. 1 let. b ch. 2 LEtr).</w:t>
      </w:r>
    </w:p>
    <w:p>
      <w:r>
        <w:t>c. Il en va de même si cette personne a été poursuivie ou condamnée pour une infraction par laquelle elle a menacé sérieusement la vie ou l’intégrité corporelle d’autres personnes, ou si elle a été condamnée pour crime au sens de l’art. 10 al. 2 CP, l’art. 76 al. 1 let. b ch. 1 LEtr renvoyant à l’art. 75 al. 1 let. g et h LEtr.</w:t>
      </w:r>
    </w:p>
    <w:p>
      <w:r>
        <w:t>d. Tel est le cas également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Les art. 76 al. 1 let. b ch. 3 et 4 LEtr décrivent tous deux des</w:t>
      </w:r>
    </w:p>
    <w:p>
      <w:r>
        <w:t>- 5/7 - A/912/2011 comportements permettant de conclure à l’existence d’un risque de fuite ou de disparition. Ces deux éléments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la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rPr>
          <w:b/>
        </w:rPr>
        <w:t>E. 5</w:t>
      </w:r>
    </w:p>
    <w:p>
      <w:r>
        <w:t>En l’occurrence, l’ODM a refusé d’entrer en matière sur la demande d’asile du recourant en se fondant sur l’art. 32 al. 2 let. a LAsi. Au cours de son séjour en Suisse, l’intéressé s’est livré à un important trafic de cocaïne, lequel constitue une menace sérieuse pour la vie ou l’intégrité corporelle de tiers (ATA/120/2011 du 18 février 2011 ; ATA/351/2010 du 19 mai 2010 ; ATA/352/2007 du 26 juillet 2007) et il a été condamné pour infraction grave à la LStup, soit pour un crime. En outre, depuis la décision de renvoi, il n’a entrepris aucune démarche pour quitter la Suisse en annonçant formellement son départ aux autorités, affirmant en outre devant le TAPI qu’il ne voulait pas se rendre au Nigéria mais en Espagne.</w:t>
      </w:r>
    </w:p>
    <w:p>
      <w:r>
        <w:t>Les conditions de l’art. 76 al. 2 let. b ch. 1 à 4 LEtr étant réalisées, c’est à juste titre que le TAPI a confirmé l’ordre de mise en détention administrative.</w:t>
      </w:r>
    </w:p>
    <w:p>
      <w:r>
        <w:rPr>
          <w:b/>
        </w:rPr>
        <w:t>E. 6</w:t>
      </w:r>
    </w:p>
    <w:p>
      <w:r>
        <w:t>Aux termes de l’art. 76 al. 4 LEtr, les démarches nécessaires à l’exécution du renvoi ou de l’expulsion doivent être entreprises sans tarder. En outre, la durée de la détention administrative doit respecter le principe de la proportionnalité, garanti par l’art. 36 de la Constitution fédérale de la Confédération suisse du 18 avril 1999 (Cst. - RS 101). En l’espèce, ces règles ont été suivies. En effet, les démarches permettant l’exécution du renvoi sont en cours. Une place dans un avion a été réservée. La mise en détention administrative de l’intéressé pour une durée d’un mois n’est pas disproportionnée pour permettre le renvoi effectif du recourant dans son pays.</w:t>
      </w:r>
    </w:p>
    <w:p>
      <w:r>
        <w:rPr>
          <w:b/>
        </w:rPr>
        <w:t>E. 7</w:t>
      </w:r>
    </w:p>
    <w:p>
      <w:r>
        <w:t>Au vu de ce qui précède, le recours sera rejeté.</w:t>
      </w:r>
    </w:p>
    <w:p>
      <w:r>
        <w:rPr>
          <w:b/>
        </w:rPr>
        <w:t>E. 8</w:t>
      </w:r>
    </w:p>
    <w:p>
      <w:r>
        <w:t>Vu la nature du litige, aucun émolument ne sera perçu (art. 12 du règlement sur les frais, émoluments et indemnités en procédure administrative du 30 juillet</w:t>
      </w:r>
    </w:p>
    <w:p>
      <w:r>
        <w:t>- 6/7 - A/912/2011 1986 - RFPA - E 5 10.03). De même,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