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ATA/24/2016 vom 12. Januar 2016</w:t>
      </w:r>
    </w:p>
    <w:p>
      <w:r>
        <w:t>GE Cour de justice, 2016-01-12, FR</w:t>
      </w:r>
    </w:p>
    <w:p>
      <w:r>
        <w:rPr>
          <w:b/>
        </w:rPr>
        <w:t xml:space="preserve">Quelle: </w:t>
      </w:r>
      <w:r>
        <w:t>https://mcp.opencaselaw.ch/entscheid/ge_gerichte_ATA_24_2016</w:t>
      </w:r>
    </w:p>
    <w:p>
      <w:r>
        <w:t>FR: GE_GERICHTE ATA/24/2016 du 12 janvier 2016</w:t>
      </w:r>
    </w:p>
    <w:p>
      <w:r>
        <w:t>IT: GE_GERICHTE ATA/24/2016 del 12 gennaio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Il sera relevé qu’il est regrettable que le courrier du recourant du 31 juillet 2015 n’ait pas été transmis à la chambre administrative par la DGPN, en application de l’art. 11 al. 3 LPA.</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jurisprudence citée).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(ATA/916/2015 précité consid. 2b et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w:t>
      </w:r>
    </w:p>
    <w:p>
      <w:r>
        <w:t>- 4/6 - A/2803/2015 qui surviennent en dehors de la sphère d’activité de l’intéressé et qui s’imposent à lui de façon irrésistible (ATA/916/2015 précité consid 2c).</w:t>
      </w:r>
    </w:p>
    <w:p>
      <w:r>
        <w:t>d.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rPr>
          <w:b/>
        </w:rPr>
        <w:t>E. 3</w:t>
      </w:r>
    </w:p>
    <w:p>
      <w:r>
        <w:t>Selon l’art. 62 al. 4 LPA, les décisions qui ne sont remises que contre signature du destinataire sont réputées reçues au plus tard sept jours après la première tentative de remise.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ATF 130 III 396 consid. 1.2.3).</w:t>
      </w:r>
    </w:p>
    <w:p>
      <w:r>
        <w:t>D’une manière générale, l’administré, lorsqu’il doit s’attendre à recevoir une décision, doit prendre des dispositions pour faire en sorte d’être atteint. Tel n’est pas le cas de celui qui, dans cette situation s’absente sans prendre de dispositions pour avertir l’autorité, ou pour faire réceptionner son courrier de façon à être averti de l’arrivée, pendant cette période, d’une décision le concernant. À l’échéance du délai de dépôt de l’avis de pli recommandé, la décision est considérée comme notifiée (ATF 134 V 49 consid. 4). C’est seulement en l’absence d’un empêchement non fautif du destinataire de la décision que la notification de celle-ci ne déploie pas ses effets ou que ceux-ci sont reportés.</w:t>
      </w:r>
    </w:p>
    <w:p>
      <w:r>
        <w:rPr>
          <w:b/>
        </w:rPr>
        <w:t>E. 4</w:t>
      </w:r>
    </w:p>
    <w:p>
      <w:r>
        <w:t>En l’espèce, le pli recommandé n’ayant pu être délivré immédiatement, un avis de retrait a été déposé dans la boîte aux lettres ou dans la case postale du recourant. Le retrait n’ayant pas eu lieu dans le délai de garde, l’envoi est réputé être parvenu à son destinataire, conformément à la jurisprudence précitée, si bien que le délai de paiement a commencé valablement à courir et est donc échu le 23 septembre 2015 à teneur des principes jurisprudentiels précités.</w:t>
      </w:r>
    </w:p>
    <w:p>
      <w:r>
        <w:t>- 5/6 - A/2803/2015</w:t>
      </w:r>
    </w:p>
    <w:p>
      <w:r>
        <w:t>Par ailleurs, le recourant ne fait état d’aucune autre circonstance propre à envisager un empêchement non fautif.</w:t>
      </w:r>
    </w:p>
    <w:p>
      <w:r>
        <w:rPr>
          <w:b/>
        </w:rPr>
        <w:t>E. 5</w:t>
      </w:r>
    </w:p>
    <w:p>
      <w:r>
        <w:t>Dans ces circonstances, le TAPI était en droit de déclarer le recours irrecevable, vu l’absence de paiement dans le délai imparti. Manifestement mal fondé, le recours sera ainsi rejeté sans acte d'instruction complémentaire, conformément à l'art. 72 LPA.</w:t>
      </w:r>
    </w:p>
    <w:p>
      <w:r>
        <w:t>Malgré l'issue du litige et conformément à sa pratique, la chambre de céans renoncera à percevoir un émolument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