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ATA/248/2013 vom 18. April 2013</w:t>
      </w:r>
    </w:p>
    <w:p>
      <w:r>
        <w:t>GE Cour de justice, 2013-04-18, FR</w:t>
      </w:r>
    </w:p>
    <w:p>
      <w:r>
        <w:rPr>
          <w:b/>
        </w:rPr>
        <w:t xml:space="preserve">Quelle: </w:t>
      </w:r>
      <w:r>
        <w:t>https://mcp.opencaselaw.ch/entscheid/ge_gerichte_ATA_248_2013</w:t>
      </w:r>
    </w:p>
    <w:p>
      <w:r>
        <w:t>FR: GE_GERICHTE ATA/248/2013 du 18 avril 2013</w:t>
      </w:r>
    </w:p>
    <w:p>
      <w:r>
        <w:t>IT: GE_GERICHTE ATA/248/2013 del 18 aprile 2013</w:t>
      </w:r>
    </w:p>
    <w:p>
      <w:pPr>
        <w:pStyle w:val="Heading2"/>
      </w:pPr>
      <w:r>
        <w:t>Erwägungen</w:t>
      </w:r>
    </w:p>
    <w:p>
      <w:r>
        <w:rPr>
          <w:b/>
        </w:rPr>
        <w:t>E. 1</w:t>
      </w:r>
    </w:p>
    <w:p>
      <w:r>
        <w:t>Interjeté le 5 avril 2013 contre le jugement prononcé le 28 mars 2012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8 avril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w:t>
      </w:r>
    </w:p>
    <w:p>
      <w:r>
        <w:t>- 5/7 - A/1029/2013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w:t>
      </w:r>
    </w:p>
    <w:p>
      <w:r>
        <w:t>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En l’espèce, le recourant a été condamné à de multiples reprises pour des infractions constituant des crimes au sens de l’art. 10 CP. Son refus de quitter la Suisse le 25 mars 2013, alors qu’il était au bénéfice d’un laissez-passer, ainsi que ses propos contradictoires sur sa volonté de retourner en Algérie établissent l’existence d’un risque de fuite ou de disparition. On peut en effet considérer que, s’il était en liberté, le recourant, dont le domicile est au demeurant inconnu, se réfugierait dans la clandestinité pour échapper à son rapatriement. Dans ces circonstances, l’officier de police était fondé à ordonner sa mise en détention administrative sur la base des art. 76 al. 1 let. b ch. 1, 3 et 4 LEtr. Le recourant ne le conteste d'ailleurs pas.</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la durée de la détention administrative est encore bien inférieure à la durée légale maximale. Le recourant n’a, avant sa mise en détention ou depuis lors, effectué aucune démarche en vue de son départ. L’autorité administrative a, quant à elle, entrepris sans attendre, d’elle-même, les démarches nécessaires à l’obtention d’un laissez-passer et réservé une place dans un vol à destination de l’Algérie. Aucune mesure moins incisive ne permettrait d'assurer la présence de l'intéressé au jour fixé pour l'exécution du renvoi. Le vol étant prévu courant mai, la durée de la mesure ne peut être réduite comme le demande le recourant. Dans ces circonstances, le principe de la proportionnalité et celui de la célérité ont été respectés.</w:t>
      </w:r>
    </w:p>
    <w:p>
      <w:r>
        <w:rPr>
          <w:b/>
        </w:rPr>
        <w:t>E. 6</w:t>
      </w:r>
    </w:p>
    <w:p>
      <w:r>
        <w:t>Selon l’art. 80 al 4 LEtr, l’autorité judiciaire qui examine la décision de détention administrative tient compte de la situation familiale de la personne détenue et des conditions d’exécution de la détention. Celle-là doit en particulier</w:t>
      </w:r>
    </w:p>
    <w:p>
      <w:r>
        <w:t>- 6/7 - A/1029/2013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l’espèce, le recourant n'invoque aucun motif qui permettrait d'envisager l'existence d'un obstacle, au sens des dispositions susmentionnées, à l'exécution de son renvoi et le dossier n'en suggère pas.</w:t>
      </w:r>
    </w:p>
    <w:p>
      <w:r>
        <w:rPr>
          <w:b/>
        </w:rPr>
        <w:t>E. 7</w:t>
      </w:r>
    </w:p>
    <w:p>
      <w:r>
        <w:t>Le recours sera rejeté. Vu la nature du litige, aucun émolument ne sera perçu (art. 12 du règlement sur les frais, émoluments et indemnités en procédure administrative du 30 juillet 1986 - RFPA-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