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ATA/247/2026 vom 10. März 2026</w:t>
      </w:r>
    </w:p>
    <w:p>
      <w:r>
        <w:t>GE Cour de justice, 2026-03-10, FR</w:t>
      </w:r>
    </w:p>
    <w:p>
      <w:r>
        <w:rPr>
          <w:b/>
        </w:rPr>
        <w:t xml:space="preserve">Quelle: </w:t>
      </w:r>
      <w:r>
        <w:t>https://mcp.opencaselaw.ch/entscheid/ge_gerichte_ATA_247_2026</w:t>
      </w:r>
    </w:p>
    <w:p>
      <w:r>
        <w:t>FR: GE_GERICHTE ATA/247/2026 du 10 mars 2026</w:t>
      </w:r>
    </w:p>
    <w:p>
      <w:r>
        <w:t>IT: GE_GERICHTE ATA/247/2026 del 10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- 7/19 - A/1711/2025</w:t>
      </w:r>
    </w:p>
    <w:p>
      <w:r>
        <w:rPr>
          <w:b/>
        </w:rPr>
        <w:t>E. 2</w:t>
      </w:r>
    </w:p>
    <w:p>
      <w:r>
        <w:t>La recourante sollicite une comparution personnelle des parties et l’audition de C______, de D______, de F______ et de son comptable.</w:t>
      </w:r>
    </w:p>
    <w:p>
      <w:r>
        <w:rPr>
          <w:b/>
        </w:rPr>
        <w:t>E. 2.1</w:t>
      </w:r>
    </w:p>
    <w:p>
      <w:r>
        <w:t>Tel qu'il est garanti par l'art. 29 al. 2 Cst.,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celle de témoins (ATF 140 I 285 consid. 6.3.1).</w:t>
      </w:r>
    </w:p>
    <w:p>
      <w:r>
        <w:rPr>
          <w:b/>
        </w:rPr>
        <w:t>E. 2.2</w:t>
      </w:r>
    </w:p>
    <w:p>
      <w:r>
        <w:t>En l’espèce, la recourante sollicite une comparution personnelle des parties au motif qu’elle avait, depuis le début du contrôle, sollicité un entretien avec l’OCIRT afin de pouvoir échanger et trouver un terrain d’entente en bonne intelligence, ce que ce dernier avait toujours refusé. Elle pourrait interroger l’OCIRT sur les raisons qui le poussaient à la traiter différemment des entreprises agricoles et comment il expliquait une différenciation des salaires entre des employés effectuant des tâches en tous points similaires. Or l’OCIRT a, tant dans ses courriers des 10 janvier et 28 février 2025 que dans le cadre de ses écritures par-devant la chambre de céans, exposé de manière motivée les raisons pour lesquelles il estime que le salaire minimum cantonal prévu par la LIRT s’applique aux palefreniers et aux soigneurs de la société, de sorte que son audition n’apporterait rien de plus. Plus particulièrement, dans son courrier du 10 janvier 2025, faisant suite à la demande de la recourante de lui exposer lesdites raisons, l’OCIRT a exposé sur près de deux pages les raisons pour lesquelles l'activité de ses employés palefreniers était soumise au salaire minimum genevois et non pas au salaire minimum dérogatoire de l'agriculture. Elle l’a réitéré dans son courrier du 18 février 2025, en se référant aux bases légales applicables, au message du Conseil fédéral et à la doctrine relatifs à la LTr. La recourante s’est par ailleurs vu offrir la possibilité de faire valoir ses arguments à plusieurs reprises devant la chambre de céans et s’est exprimée de manière circonstanciée sur l'objet du litige, de sorte que son audition n’apparaît pas nécessaire. De l’avis de la recourante, l’audition des témoins permettrait quant à elle de mettre en exergue les similitudes entre les différents métiers de l’agriculture (palefreniers, soigneurs animaliers, bergers, vachers, etc). Or le dossier contient des attestations de ses employées et de son vétérinaire portant sur cet élément. Elle a également produit une attestation de sa fiduciaire relative au supplément de charges salariales que l’application du salaire minimum genevois entraînerait depuis le 1er novembre 2020 et elle n'indique pas quels éléments, autres que ceux ressortant déjà des pièces produites, ces auditions pourraient apporter à la solution du litige. L'ensemble des écritures et des pièces produites suffisent à la chambre de céans pour se prononcer en toute connaissance de cause. Dès lors, la requête d'actes d'instruction sera écartée.</w:t>
      </w:r>
    </w:p>
    <w:p>
      <w:r>
        <w:t>- 8/19 - A/1711/2025</w:t>
      </w:r>
    </w:p>
    <w:p>
      <w:r>
        <w:rPr>
          <w:b/>
        </w:rPr>
        <w:t>E. 3</w:t>
      </w:r>
    </w:p>
    <w:p>
      <w:r>
        <w:t>Dans un premier grief, d’ordre formel et qu’il convient d’examiner en premier lieu, la recourante se plaint de la violation de son droit d’être entendue, la décision n’étant pas suffisamment motivée et ne permettant pas non plus de comprendre comment l’autorité était arrivée à une somme de CHF 24'400.- s’agissant de l’amende.</w:t>
      </w:r>
    </w:p>
    <w:p>
      <w:r>
        <w:rPr>
          <w:b/>
        </w:rPr>
        <w:t>E. 3.1</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 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w:t>
      </w:r>
    </w:p>
    <w:p>
      <w:r>
        <w:rPr>
          <w:b/>
        </w:rPr>
        <w:t>E. 3.2</w:t>
      </w:r>
    </w:p>
    <w:p>
      <w:r>
        <w:t>En l’espèce, la décision expose les raisons pour lesquelles l’autorité estime que la recourante n’était pas une entreprise agricole au sens de l’art. 2 al. 1 let. d LTr et qu’elle devait par conséquent respecter le salaire minimum prévu à l’art. 39K al. 1 LIRT. Même si elle ne se prononce pas sur tous les arguments de la recourante, cette dernière a bien compris la motivation de l’OCIRT ; elle a d’ailleurs pu faire valoir tous ses arguments et exercer son droit de recours à bon escient. De même, la décision indique expressément les critères qui ont été pris en compte pour fixer le montant de l’amende, notamment la taille de l’entreprise, le pourcentage de salariés concernés par les infractions, leur durée, et la mise en conformité partielle en faveur de ses employés. Le grief sera écarté.</w:t>
      </w:r>
    </w:p>
    <w:p>
      <w:r>
        <w:t>- 9/19 - A/1711/2025</w:t>
      </w:r>
    </w:p>
    <w:p>
      <w:r>
        <w:rPr>
          <w:b/>
        </w:rPr>
        <w:t>E. 4</w:t>
      </w:r>
    </w:p>
    <w:p>
      <w:r>
        <w:t>octobre 1991 (LDFR - RS 211.412.11).</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4.2</w:t>
      </w:r>
    </w:p>
    <w:p>
      <w:r>
        <w:t>Une décision viole le principe de l’égalité de traitement garanti par l’art. 8 Cst. lorsqu’elle établit des distinctions juridiques qui ne se justifient par aucun motif raisonnable au regard de la situation de fait ou lorsqu’elle omet de faire des distinctions qui s’imposent au vu des circonstances. Cela suppose que le traitement différent ou semblable injustifié se rapporte à une situation de fait importante (ATF 142 V 316 consid. 6.1.1 ; arrêt du Tribunal fédéral 2C_774/2014 du 21 juillet 2017 consid. 9.1 ; ATA/910/2023 du 25 août 2023 consid. 3.4).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w:t>
      </w:r>
    </w:p>
    <w:p>
      <w:r>
        <w:rPr>
          <w:b/>
        </w:rPr>
        <w:t>E. 4.3</w:t>
      </w:r>
    </w:p>
    <w:p>
      <w:r>
        <w:t>Depuis le 31 octobre 2020, à la suite de l’adoption le 27 septembre 2020 de l’initiative populaire législative cantonale n° 173 « 23 frs, c'est un minimum! », la LIRT institue un salaire minimum afin de combattre la pauvreté, de favoriser l’intégration sociale et de contribuer ainsi au respect de la dignité humaine ; elle définit les rôles et les compétences pour la mise en œuvre de ce salaire minimal (art. 1 al. 4 LIRT). Le salaire minimum est réglé au chapitre IVB de la LIRT. Les relations de travail des travailleurs accomplissant habituellement leur travail dans le canton y sont soumises (art. 39I LIRT).</w:t>
      </w:r>
    </w:p>
    <w:p>
      <w:r>
        <w:t>- 10/19 - A/1711/2025 Le salaire minimum est de CHF 23.- par heure (art. 39K al. 1 LIRT), et il est indexé chaque année sur la base de l’indice des prix à la consommation, mais uniquement en cas de hausse (art. 39K al. 3 LIRT). Le salaire minimum s'élevait ainsi à CHF 23.- dès le 1er novembre 2020, à CHF 23.14 dès le 1er janvier 2021, à CHF 23.27 dès le 1er janvier 2022, à CHF 24.- dès le 1er janvier 2023 et à CHF 24.32 dès le 1er janvier 2024 conformément aux arrêtés y relatifs du Conseil d’État (art. 1 al. 1 ArSML en 2020 et 2021 et ArSMC dès 2022 - J 1 05.03).</w:t>
      </w:r>
    </w:p>
    <w:p>
      <w:r>
        <w:rPr>
          <w:b/>
        </w:rPr>
        <w:t>E. 4.4</w:t>
      </w:r>
    </w:p>
    <w:p>
      <w:r>
        <w:t>Pour le secteur économique visé par l’art. 2 al. 1 let. d LTr, le Conseil d’État peut, sur proposition du Conseil de surveillance du marché de l’emploi, fixer un salaire minimum dérogeant à l’al. 1, dans le respect de l’art. 1 al. 4 (art. 39K al. 2). Dans le secteur de l’agriculture, le salaire minimum brut a été arrêté à CHF 16.90 par heure dès le 1er novembre 2020, à CHF 17.- dès le 1er janvier 2021, à CHF 17.10 dès le 1er janvier 2022, à CHF 17.64 dès le 1er janvier 2023 et à CHF 17.87 dès le 1er janvier 2024 (ArSML en 2020 et 2021 et art. 1 al. 2 ArSMC dès 2022).</w:t>
      </w:r>
    </w:p>
    <w:p>
      <w:r>
        <w:rPr>
          <w:b/>
        </w:rPr>
        <w:t>E. 4.5</w:t>
      </w:r>
    </w:p>
    <w:p>
      <w:r>
        <w:t>Selon son art. 2 al. 1 let. d, la LTr ne s’applique pas aux entreprises agricoles ni aux services accessoires qui ont pour activité prépondérante de traiter ou d’utiliser les produits de l’exploitation principale, ni aux offices locaux collecteurs de lait, ni aux entreprises qui y sont rattachées et travaillent le lait. Le texte allemand parle d’entreprises de production agricole d’origine ou primaires (« Betriebe der landwirtschaftlichen Urproduktion »). Selon l’art. 5 de l’ordonnance 1 relative à la loi sur le travail du 10 mai 2000 (OLT 1 - RS 822.111), sont réputées entreprises agricoles les entreprises qui se livrent à l’exploitation de champs et de prés, à l’arboriculture fruitière, à la viticulture, à la culture maraîchère, à la culture des baies et à la garde d’animaux d’élevage et de rente, ainsi que les forêts privées appartenant à une telle entreprise (al. 1), sont réputées offices locaux collecteurs de lait les entreprises qui recueillent le lait directement auprès des entreprises agricoles d’un bassin de ravitaillement géographiquement limité et le travaillent en tout ou partie dans des locaux rattachés à elles, ou le remettent à d’autres entreprises pour le travailler ou le vendre (al. 2) et sont réputés services accessoires les services qui utilisent ou transforment, pour leur usage personnel ou pour celui du marché local, des produits provenant de l’entreprise principale (al. 3).</w:t>
      </w:r>
    </w:p>
    <w:p>
      <w:r>
        <w:rPr>
          <w:b/>
        </w:rPr>
        <w:t>E. 4.6</w:t>
      </w:r>
    </w:p>
    <w:p>
      <w:r>
        <w:t>Selon le message du Conseil fédéral du 30 septembre 1960 à l’appui de la LTr (FF 1960 II 885), « pour définir l'agriculture, branche de la production primaire, citons encore le message du 19 janvier 1951 : " II convient de partir de la notion d'exploitation du sol, celle-ci étant considérée comme le principe de l'activité agricole. Cette exploitation englobe la culture des champs avec toutes les plantes agricoles utiles usuellement cultivées dans les champs (céréales, plantes sarclées, plantes oléagineuses et textiles, maïs, tabac) ainsi que les cultures herbagères, l'arboriculture fruitière, la viticulture, la culture maraîchère et la culture des baies.</w:t>
      </w:r>
    </w:p>
    <w:p>
      <w:r>
        <w:t>- 11/19 - A/1711/2025 À cela s'ajoutent l'élevage du bétail, l’aviculture, l'apiculture, la cuniculture et la pisciculture ". Appartiennent également à l'agriculture les forêts rattachées et nécessaires à une exploitation agricole (cf. art. 2, 2e al., de la loi du 12 juin 1951 sur le maintien de la propriété foncière rurale). Il faut y inclure également l'économie laitière, en tant qu'il s'agit de recueillir le lait et de le mettre en œuvre dans des entreprises locales pour le transformer en beurre ou en fromage. Dans ces conditions, les offices locaux collecteurs de lait, de même que les entreprises qui y sont rattachées et travaillent le lait, soit notamment les fromageries, ne sont pas soumis à la loi. Y sont soumises en revanche les laiteries, les beurreries centrales ainsi que les fabriques de lait en poudre, de lait condensé et de fromage en boîte. « Les services accessoires qui font partie d'une exploitation agricole principale et ont pour activité dominante de mettre en œuvre ou d'écouler leurs propres produits, par exemple le lait, les œufs, les fruits, les légumes, ainsi que les produits du jardinage, ne sont pas non plus soumis à la loi. En revanche, les entreprises autonomes qui mettent en œuvre ou écoulent des produits agricoles y sont soumises. La loi ne vise pas, par exemple, la livraison ni la distribution du lait provenant de l'exploitation, ni la transformation de ce lait en beurre ou en fromage dans l'exploitation. Mais elle s'applique à la fabrication de beurre et de fromage dans les fromageries coopératives, ainsi qu'à la fabrication de lait en poudre, de lait condensé et de fromage en boîte, exception faite, comme nous l'avons dit, des offices locaux collecteurs de lait et des entreprises qui y sont rattachées et travaillent le lait. En ce qui concerne les forêts rattachées et nécessaires à une exploitation agricole, notons que les scieries doivent être considérées comme des services accessoires, à la condition qu'elles travaillent surtout du bois provenant de ces biens-fonds ». Selon le commentaire du SECO relatif à l’art. 2 al. 1 let. d LTr, sont concernées par cette exclusion les entreprises agricoles dont les activités peuvent être attribuées à la production primaire. L’art. 5 OLT 1 contient une définition plus précise des termes d’entreprise agricole, service accessoire et office collecteur de lait (https://www.seco.admin.ch/seco/fr/home/Arbeit/Arbeitsbedingungen/Arbeitsgese tz-und-Verordnungen/Wegleitungen/wegleitung-zum-arg.html, état novembre 2025). La lecture combinée du texte allemand de l’art. 2 al. 1 let. d LTr, de l’art. 5 OLT et du message conduit à conclure que l’entreprise agricole pratique la cultivation directe du sol (ATA/666/2021 du 29 juin 2021 consid. 8a) et que la garde d’animaux d’élevage et de rente est une activité qui doit relever de la production agricole primaire (« landwirtschaftlichen Urproduktion »), soit l’élevage de bétail pour en tirer principalement des produits.</w:t>
      </w:r>
    </w:p>
    <w:p>
      <w:r>
        <w:rPr>
          <w:b/>
        </w:rPr>
        <w:t>E. 4.7</w:t>
      </w:r>
    </w:p>
    <w:p>
      <w:r>
        <w:t>Selon la doctrine, eu égard au but de l'exception, la production agricole présuppose un lien avec le sol et avec l'environnement naturel et ses influences météorologiques. Si on se réfère à cette justification, l'exception ne peut pas s'appliquer quand la production a lieu dans un milieu artificiel. Dès lors, la LTr devrait être appliquée aux cultures de champignons dans les galeries souterraines et</w:t>
      </w:r>
    </w:p>
    <w:p>
      <w:r>
        <w:t>- 12/19 - A/1711/2025 à la production hors sol. Cela est également valable pour l'élevage industriel d'animaux dans des usines tel que l'élevage de poules en batterie. Inclure l'apiculture ou l'élevage de lapins dans cette exception paraît discutable, car le rythme du travail n'y est guère dicté par des conditions particulières liées au milieu naturel (Thomas GEISER, Commentaire LTr, Stämpfli 2005, nos 27 et 28 p. 60).</w:t>
      </w:r>
    </w:p>
    <w:p>
      <w:r>
        <w:rPr>
          <w:b/>
        </w:rPr>
        <w:t>E. 4.8</w:t>
      </w:r>
    </w:p>
    <w:p>
      <w:r>
        <w:t>La recourante soutient être une entreprise agricole au sens de l’art. 2 al. 1 let. d LTr. Elle ne saurait être suivie. Il ressort du texte clair des art. 2 al. 1 let. d LTr, 5 OLT 1 et des considérations qui précèdent que la garde d’animaux d’élevage et de rente est une activité qui doit relever de la production agricole primaire. Le sens littéral est confirmé par le message du Conseil fédéral, le commentaire du SECO et la doctrine cités plus haut. La disposition, qui exclut certains travailleurs d’une partie du dispositif de protection de la LTr et institue donc une exception, ne saurait par principe être interprétée extensivement. La recourante n’est pas une entreprise de production agricole primaire. Celle-ci n’entre pas dans son but social. Elle ne produit rien ni ne fait de l’élevage. Si elle épand du purin, ce n’est pas son activité principale ni son but. Comme elle le relève elle-même, elle héberge des chevaux et prend soin d’eux pour permettre la pratique équestre. Le fait que des poulains y naissent n’y change rien. Comme l’OCIRT l’a relevé, sa pratique est en réalité orientée vers le sport, elle est d’ailleurs membre de la Fédération genevoise équestre. Sur son site Internet, on apprend que la recourante a organisé un concours de sauts en juillet 2025 (https://www.fge.ch/fr/En- images/Saut-La-Renfile-2025.html). Les attestations produites par la recourante pour montrer que l’activité de palefrenier est identique à celle d’un vacher, d’un berger ou d’un employé agricole ne lui sont donc d’aucun secours dès lors que ce n’est pas l’activité du travailleur qui est relevante au sens de l’art. 2 al. 1 let. d LTr mais celle de l’entreprise agricole. Pour les mêmes raisons, le grief reproché à l’autorité intimée tiré de la mauvaise constatation des faits pour ne pas avoir compte les similitudes entre le cahier des charges des palefreniers/soigneurs animaliers et celui des employés agricoles est infondé. Les faits ont été établis de manière correcte et sans arbitraire. Enfin, l’argumentation de la recourante selon laquelle les palefreniers sont par ailleurs tributaires des conditions météorologiques quant à leurs sorties quotidiennes ne correspond manifestement pas à la définition qu’en a fait le législateur au sens de l’art. 2 al. 1 let. d LTr précité, la météo devant avoir une influence directe sur l’activité agricole même, cette activité devant dépendre des intempéries. Tel n'est pas le cas de celle de palefreniers ou de soigneurs animaliers qui peuvent prendre soin des chevaux dans leur box et les promener dans le manège couvert.</w:t>
      </w:r>
    </w:p>
    <w:p>
      <w:r>
        <w:t>- 13/19 - A/1711/2025</w:t>
      </w:r>
    </w:p>
    <w:p>
      <w:r>
        <w:rPr>
          <w:b/>
        </w:rPr>
        <w:t>E. 4.9</w:t>
      </w:r>
    </w:p>
    <w:p>
      <w:r>
        <w:t>La recourante invoque également la loi fédérale sur le droit foncier rural du</w:t>
      </w:r>
    </w:p>
    <w:p>
      <w:r>
        <w:rPr>
          <w:b/>
        </w:rPr>
        <w:t>E. 4.10</w:t>
      </w:r>
    </w:p>
    <w:p>
      <w:r>
        <w:t>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et de lutter contre les prix surfaits des terrains agricoles, en réglant l’acquisition des entreprises et des immeubles agricoles, l’engagement des immeubles agricoles et le partage des entreprises agricoles et le morcellement des immeubles agricoles (art. 1 LDFR). Par entreprise agricole, la LDFR entend une unité composée d’immeubles, de bâtiments et d’installations agricoles qui sert de base à la production agricole et qui exige, dans les conditions d’exploitation usuelles dans le pays, au moins une unité de main-d’œuvre standard. Aux mêmes conditions, les entreprises d’horticulture productrice sont assimilées à des entreprises agricoles. Pour apprécier s’il s’agit d’une entreprise agricole, on prend en considération les immeubles assujettis à la loi. Une entreprise mixte est une entreprise agricole lorsqu’elle a un caractère agricole prépondérant (art. 7 LDFR). La chambre de céans a déjà eu l’occasion de préciser que les buts respectifs de la LTr et de la LDFR diffèrent considérablement, de même que les notions d’exploitation auxquelles elles se réfèrent (v. ATA/810/2005). La LDFR analyse l’entreprise agricole en fonction de son emprise sur le sol et admet par exemple qu’une entreprise mixte soit considérée comme agricole. La LTr vise la protection des travailleurs et la norme par laquelle elle soustrait les travailleurs agricoles à une partie de celle-ci doit être interprétée de manière restrictive (ATA/666/2021 précité consid. 9c).</w:t>
      </w:r>
    </w:p>
    <w:p>
      <w:r>
        <w:rPr>
          <w:b/>
        </w:rPr>
        <w:t>E. 4.11</w:t>
      </w:r>
    </w:p>
    <w:p>
      <w:r>
        <w:t>La recourante se fonde encore sur l’avis du Prof. E______ qu’elle a mandaté et qui conclut qu’elle entre dans le champ d’application de la notion d’entreprise agricole au sens de la LTr et qu’elle est donc parfaitement en droit d’appliquer le salaire minimum de l’agriculture aux palefreniers qu’elle emploie (avis, n° 169). Comme elle le soutient, il fonde son analyse juridique sur son activité principale, à savoir le soin donné aux équidés qu’elle a en pension (n° 47), sur le fait que l’activité de palefrenier serait rythmée par les conditions météorologiques (n° 29) et sur le fait que « de manière indirecte, le fait de prendre soin des équidés de la manière décrite ci-avant, a également pour but leur reproduction » (n° 50). Il expose à cet égard que les chevaux ne peuvent pas se reproduire sans soins appropriés (n° 50). Il perd de vue que la production n’a pas pour but l’élevage en tant que tel. Il reconnaît d’ailleurs que la reproduction ne constitue pas un élevage en tant que tel (n° 52).</w:t>
      </w:r>
    </w:p>
    <w:p>
      <w:r>
        <w:t>- 14/19 - A/1711/2025 Conformément aux considérants qui précèdent, les prémisses sur lesquels l’auteur de l’avis de droit fonde ses conclusions ne sauraient être suivies.</w:t>
      </w:r>
    </w:p>
    <w:p>
      <w:r>
        <w:rPr>
          <w:b/>
        </w:rPr>
        <w:t>E. 4.12</w:t>
      </w:r>
    </w:p>
    <w:p>
      <w:r>
        <w:t>En conclusion, l’exception de l’art. 2 al. 1 let. d LTr ne concerne pas à proprement parler une profession ou une activité, mais vise explicitement l’entreprise. Ne sont ainsi pas non plus pertinents ici la question de la zone agricole ou la participation active au cycle agricole genevois. Le palefrenier ne transforme pas l’entreprise pour laquelle il travaille en entreprise agricole. À l’instar de l’OCIRT, force est de retenir que la seule question à laquelle il s’agit de répondre est celle de savoir si les palefreniers/soigneurs animaliers sont des travailleurs accomplissant habituellement leur travail dans le canton, au sein d’une « entreprise agricole » au sens de l’art. 2 al. 1 let. d LTr. Or conformément aux considérants qui précèdent, la recourante ne constitue pas une entreprise agricole au sens de l’art. 2 al. 1 let. d LTr. Par voie de conséquence, le grief tiré de l’inégalité de traitement est également infondé puisqu’il se justifie de prévoir un salaire différent pour les palefreniers et les employés agricoles en tant que l’activité de la recourante – à savoir le sport équestre – est différente de celle d’une entreprise agricole. C’est ainsi de manière conforme à la loi que l’OCIRT a retenu des infractions au salaire minimal selon la LIRT.</w:t>
      </w:r>
    </w:p>
    <w:p>
      <w:r>
        <w:rPr>
          <w:b/>
        </w:rPr>
        <w:t>E. 5</w:t>
      </w:r>
    </w:p>
    <w:p>
      <w:r>
        <w:t>La recourante se plaint d’une atteinte à sa liberté économique, la mesure étant disproportionnée.</w:t>
      </w:r>
    </w:p>
    <w:p>
      <w:r>
        <w:rPr>
          <w:b/>
        </w:rPr>
        <w:t>E. 5.1</w:t>
      </w:r>
    </w:p>
    <w:p>
      <w:r>
        <w:t>Selon l'art. 27 al. 1 Cst., la liberté économique est garantie. Elle comprend notamment le libre choix de la profession, le libre accès à une activité économique lucrative privée et son libre exercice (art. 27 al. 2 Cst.). Conformément à l'art. 36 Cst., toute restriction d'un droit fondamental doit être fondée sur une base légale, qui doit être de rang législatif en cas de restriction grave (al. 1) ; elle doit en outre être justifiée par un intérêt public ou par la protection d'un droit fondamental d'autrui (al. 2) et être proportionnée au but visé (al. 3).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(ATF 142 I 76 consid. 3.5.1 ; 140 I 218 consid. 6.7.1 ; arrêt du Tribunal fédéral 2C_500/2012 du 22 novembre 2012 consid. 3.2).</w:t>
      </w:r>
    </w:p>
    <w:p>
      <w:r>
        <w:rPr>
          <w:b/>
        </w:rPr>
        <w:t>E. 5.2</w:t>
      </w:r>
    </w:p>
    <w:p>
      <w:r>
        <w:t>À l’occasion d’un contrôle abstrait des dispositions cantonales neuchâteloises introduisant le salaire minimum, le Tribunal fédéral a relevé en 2017 que le salaire minimum relevait de la politique sociale et que son montant était proche du revenu minimal couvrant les besoins vitaux (arrêt du Tribunal fédéral 2C_774/2014 du 21 juillet 2017 consid. 5.4.3). Il était fondé sur une base légale et poursuivait un intérêt public reconnu au sens de l’art. 36 al. 2 Cst. Il limitait certes la liberté</w:t>
      </w:r>
    </w:p>
    <w:p>
      <w:r>
        <w:t>- 15/19 - A/1711/2025 économique, sans toutefois porter atteinte à son essence (ibid. consid. 5.6.2). Sous l’angle de l’aptitude, de la nécessité et de la proportionnalité au sens strict, il ne violait pas le principe de proportionnalité. S’agissant de lui préférer des mesures subsidiaires et moins incisives, comme des conventions collectives de travail, le Tribunal fédéral a relevé que le but de l'instauration d'un salaire minimum cantonal n’était pas de lutter contre des situations de sous-enchères salariales répétées et abusives dans une branche économique ou une profession particulière, mais de lutter, de manière générale, contre la pauvreté, afin que les travailleurs puissent subvenir à leurs besoins, sans recourir à l'aide sociale (ibid. consid. 5.6.5). La réglementation litigieuse fixait un tarif général dont le montant se situait dans une fourchette raisonnable et reposant sur des critères objectifs. De plus, la législation querellée contenait des dispositions visant à modérer les effets négatifs potentiels de la loi attaquée sur la liberté économique des employeurs, moyennant un système de dérogations et de réévaluations périodiques cohérent (ibid. consid. 5.6.8). La chambre constitutionnelle de la Cour de justice (ci-après : la chambre constitutionnelle) a jugé, à l’occasion d’un contrôle abstrait, que dans la mesure où les considérations à l’origine du salaire minimum genevois étaient motivées par des critères objectifs et raisonnables – soit de lutter, par l’instauration d’un salaire minimum, contre la pauvreté à Genève et enrayer le phénomène des travailleurs pauvres, en leur permettant de vivre de leur emploi sans devoir recourir à l’aide sociale étatique – et qu’elles demeuraient dans le cadre posé par la jurisprudence pour que l’instauration d’un salaire minimum soit considérée comme relevant de la politique sociale admissible, le montant horaire retenu, de CHF 23.-, ne pouvait être qualifié de contraire au principe de la liberté économique, dès lors qu’il ne poursuivait pas comme finalité d’influencer la libre concurrence (ACST/15/2021 du 22 avril 2021 consid. 9a). Les recourantes, qui exploitaient des salons de coiffure et se plaignaient que les exceptions n’étaient pas étendues aux quatre années suivant la fin de l’apprentissage, ne pouvaient tirer argument de l’existence d’un fardeau économique déraisonnable pour les employeurs concernés, ce d’autant plus que la réglementation litigieuse prenait en considération les difficultés que certains secteurs spécifiques cités à l’art. 2 al. 1 let. d LTr, en particulier agricoles, rencontraient dans l’application du salaire minimum (art. 39K al. 2 LIRT), pour lesquels des exceptions pouvaient ainsi être prévues (ibid. consid. 9b).</w:t>
      </w:r>
    </w:p>
    <w:p>
      <w:r>
        <w:rPr>
          <w:b/>
        </w:rPr>
        <w:t>E. 5.3</w:t>
      </w:r>
    </w:p>
    <w:p>
      <w:r>
        <w:t>Il ressort du considérant qui précède que le principe du salaire minimum a été reconnu comme conforme à la constitution. La restriction repose sur une base légale formelle, soit la LIRT, ne poursuit pas un but économique mais un but d’intérêt public, soit la lutte contre la pauvreté. En soi, la fixation d’un salaire horaire minimum de CHF 23.- pour 2020 n’est pas disproportionnée, car proche des minima vitaux. La recourante a remis une attestation de sa fiduciaire indiquant que lui imposer le salaire minimum ordinaire engendrerait une augmentation de ses charges annuelles de CHF 80'000.- par an, et</w:t>
      </w:r>
    </w:p>
    <w:p>
      <w:r>
        <w:t>- 16/19 - A/1711/2025 que si elle devait assumer un rétroactif, celui-ci s’élèverait à CHF 335'000.-. Elle ne démontre pas pour autant que le surcoût mettrait en péril son exploitation. L’avis du Prof. E______ à cet égard qui expose que « si dans le domaine agricole, le salaire minimum genevois devrait être appliqué de manière générale, il est hautement probable que les exploitations agricoles ne seraient pas en mesure de fonctionner » ne lui est d’aucun secours à cet égard. Comme exposé, le législateur a en effet tenu compte des particularités des entreprises agricoles en prévoyant un salaire minimum dérogatoire dans le secteur agricole. Toutefois, comme vu ci-devant, celui-ci n’est pas applicable à la recourante. L’atteinte à la liberté économique n’est ainsi pas disproportionnée.</w:t>
      </w:r>
    </w:p>
    <w:p>
      <w:r>
        <w:rPr>
          <w:b/>
        </w:rPr>
        <w:t>E. 6</w:t>
      </w:r>
    </w:p>
    <w:p>
      <w:r>
        <w:t>Il convient encore d’examiner le bien-fondé de la quotité de la sanction.</w:t>
      </w:r>
    </w:p>
    <w:p>
      <w:r>
        <w:rPr>
          <w:b/>
        </w:rPr>
        <w:t>E. 6.1</w:t>
      </w:r>
    </w:p>
    <w:p>
      <w:r>
        <w:t>Selon l’art. 39N LIRT, l'OCIRT peut prononcer une amende administrative de CHF 30'000.- au plus lorsqu'un employeur ne respecte pas le salaire minimum prévu à l'art. 39K LIRT. Ce montant peut être doublé en cas de récidive (al. 1).</w:t>
      </w:r>
    </w:p>
    <w:p>
      <w:r>
        <w:rPr>
          <w:b/>
        </w:rPr>
        <w:t>E. 6.2</w:t>
      </w:r>
    </w:p>
    <w:p>
      <w:r>
        <w:t>Les amendes administratives prévues par la législation cantonale sont de nature pénale. Leur quotité doit ainsi être fixée en tenant compte des principes généraux régissant le droit pénal.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(ATA/927/2024 du 7 août 2024 consid. 4.3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 ATA/1138/2024 du 27 septembre 2024 consid. 6.4 ; ATA/849/2024 du 15 juillet 2024 consid. 4.11.1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ATA/935/2024 du 12 août 2024 consid. 6.1.1 et les arrêts cités). Il doit être également tenu compte, en application de l'art. 106 al. 3 CP, de la capacité financière de la personne sanctionnée. Sont prises en considération la nature, la gravité et la fréquence des infractions commises dans le respect du principe de proportionnalité (art. 5 al. 2 Cst. ; ATA/623/2024 du 21 mai 2024 consid. 4.3 et les arrêts cités).</w:t>
      </w:r>
    </w:p>
    <w:p>
      <w:r>
        <w:t>- 17/19 - A/1711/2025</w:t>
      </w:r>
    </w:p>
    <w:p>
      <w:r>
        <w:rPr>
          <w:b/>
        </w:rPr>
        <w:t>E. 6.3</w:t>
      </w:r>
    </w:p>
    <w:p>
      <w:r>
        <w:t>De jurisprudence constante, l’administration doit faire preuve de sévérité afin d’assurer le respect de la loi et jouit d’un large pouvoir d’appréciation pour infliger une amende. La chambre administrative ne la censure qu’en cas d’excès ou d'abus (ATA/1293/2025 du 21 novembre 2025 consid. .2.3 ; ATA/1138/2024 du 27 septembre 2024 consid. 6.5 ; ATA/131/2023 du 7 février 2023 consid. 5d).</w:t>
      </w:r>
    </w:p>
    <w:p>
      <w:r>
        <w:rPr>
          <w:b/>
        </w:rPr>
        <w:t>E. 6.4</w:t>
      </w:r>
    </w:p>
    <w:p>
      <w:r>
        <w:t>La chambre administrative a confirmé une amende de CHF 8'000.- portant sur une sous-enchère salariale de CHF 42'668.-, ayant duré plus d'un an et demi, dans le contexte d’une mauvaise collaboration et de l’absence de rattrapage salarial (ATA/521/2023 du 22 mai 2023 consid. 4.2). La chambre administrative a également confirmé une amende, dont le montant a été arrêté au maximum de CHF 30'000.-, infligée à une société pour une sous-enchère de CHF 565'537.54 au préjudice de 43 salariés durant deux ans (ATA/349/2024 du</w:t>
      </w:r>
    </w:p>
    <w:p>
      <w:r>
        <w:rPr>
          <w:b/>
        </w:rPr>
        <w:t>E. 6.5</w:t>
      </w:r>
    </w:p>
    <w:p>
      <w:r>
        <w:t>En espèce, l'OCIRT a infligé à la recourante une amende de CHF 24’400.- en prenant en considération que les infractions constatées s’étaient déroulées entre le 1er janvier 2022 et le 31 décembre 2024, concernaient treize travailleurs sur quatorze occupés au sein de l’entreprise et que cette dernière n'avait procédé qu'à une mise en conformité partielle en faveur de ses employés aux fins de respecter le salaire minimum, alors qu’il lui avait laissé la possibilité de se conformer aux prescriptions de la LIRT, ce qu'elle n'avait pas fait. Toutefois, la durée de trois ans prise en compte par l’OCIRT lui est imputable et n’est pas dû à un comportement dilatoire de la recourante. L’OCIRT a en effet suspendu durant une année la procédure de contrôle en raison de l’absence de longue durée de l’inspectrice du travail en charge de son dossier et ce n’est qu’à sa reprise, en octobre 2024, qu’il a informé la recourante qu’il considérait que ses employés palefreniers étaient soumis au salaire minimum cantonal. Compte tenu par ailleurs de l’absence d’antécédents, de la bonne collaboration de la recourante et du montant de la sous-enchère (CHF 174'792.95), l’amende administrative querellée de CHF 24’400.- sera ramenée à CHF 20'000.-, ce montant apparaissant plus conforme au principe de la proportionnalité. La recourante ne démontre pour le surplus pas qu'elle se trouverait dans l'impossibilité de s'en acquitter. Ainsi, le recours sera partiellement admis et la décision querellée annulée, uniquement en ce qui concerne le montant de l'amende.</w:t>
      </w:r>
    </w:p>
    <w:p>
      <w:r>
        <w:rPr>
          <w:b/>
        </w:rPr>
        <w:t>E. 7</w:t>
      </w:r>
    </w:p>
    <w:p>
      <w:r>
        <w:t>Vu l’issue du litige, un émolument réduit de CHF 900.- sera mis à la charge de la recourante qui succombe pour l’essentiel (art. 87 al. 1 LPA). Une indemnité de procédure, réduite,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