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ATA/247/2018 vom 19. März 2018</w:t>
      </w:r>
    </w:p>
    <w:p>
      <w:r>
        <w:t>GE Cour de justice, 2018-03-19, FR</w:t>
      </w:r>
    </w:p>
    <w:p>
      <w:r>
        <w:rPr>
          <w:b/>
        </w:rPr>
        <w:t xml:space="preserve">Quelle: </w:t>
      </w:r>
      <w:r>
        <w:t>https://mcp.opencaselaw.ch/entscheid/ge_gerichte_ATA_247_2018</w:t>
      </w:r>
    </w:p>
    <w:p>
      <w:r>
        <w:t>FR: GE_GERICHTE ATA/247/2018 du 19 mars 2018</w:t>
      </w:r>
    </w:p>
    <w:p>
      <w:r>
        <w:t>IT: GE_GERICHTE ATA/247/2018 del 19 marzo 2018</w:t>
      </w:r>
    </w:p>
    <w:p>
      <w:pPr>
        <w:pStyle w:val="Heading2"/>
      </w:pPr>
      <w:r>
        <w:t>Erwägungen</w:t>
      </w:r>
    </w:p>
    <w:p>
      <w:r>
        <w:rPr>
          <w:b/>
        </w:rPr>
        <w:t>E. 12</w:t>
      </w:r>
    </w:p>
    <w:p>
      <w:r>
        <w:t>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2)</w:t>
      </w:r>
    </w:p>
    <w:p>
      <w:r>
        <w:t>L’autorité peut d’office ou sur requête ordonner des mesures provisionnelles en exigeant au besoin des sûretés (art. 21 al. 1 LPA), la décision étant prise par le président ou le vice-président de la chambre administrative ou, en cas</w:t>
      </w:r>
    </w:p>
    <w:p>
      <w:r>
        <w:t>- 5/7 - A/5050/2017 d’empêchement de ceux-ci, par un autre juge (art. 21 al. 2 LPA et art. 7 al. 1 du règlement interne de la chambre administrative du 26 septembre 2010).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4)</w:t>
      </w:r>
    </w:p>
    <w:p>
      <w:r>
        <w:t>L'octroi de mesures provisionnelles présuppose l'urgence, à savoir que le refus de les ordonner crée pour l'intéressé la menace d'un dommage difficile à réparer (ATF 130 II 149 consid. 2.2 ; 127 II 132 consid. 3 = RDAF 2002 I 405).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L'autorité compétente peut résilier les rapports de service du fonctionnaire pour un motif fondé. Elle motive sa décision et doit proposer préalablement à la résiliation des mesures de développement et de réinsertion professionnels et rechercher si un autre poste au sein de l'administration serait disponible, qui</w:t>
      </w:r>
    </w:p>
    <w:p>
      <w:r>
        <w:t>- 6/7 - A/5050/2017 correspond aux capacités de l'intéressé (art. 21 al. 3 de la loi générale relative au personnel de l’administration cantonale, du pouvoir judiciaire et des établissements publics médicaux du 4 décembre 1997 - LPAC - B 5 05) et 46A du règlement d’application de la loi générale relative au personnel de l’administration cantonale, du pouvoir judiciaire et des établissements publics médicaux du 24 février 1999 - RPAC - B 5 05.01).</w:t>
      </w:r>
    </w:p>
    <w:p>
      <w:r>
        <w:t>Aux termes de l’art. 22 LPAC, il y a motif fondé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w:t>
      </w:r>
    </w:p>
    <w:p>
      <w:r>
        <w:t>Selon l’art. 31 LPAC, peut recourir à la chambre administrative pour violation de la loi tout membre du personnel dont les rapports de service ont été résiliés (al. 1) ; si la chambre administrative retient que la résiliation des rapports de service ne repose pas sur un motif fondé, elle ordonne à l’autorité compétente la réintégration (al. 2) ; si elle retient que la résiliation des rapports de service est – pour une autre raison – contraire au droit, elle peut proposer à l’autorité compétente la réintégration (al. 3). 7)</w:t>
      </w:r>
    </w:p>
    <w:p>
      <w:r>
        <w:t>En l’espèce, les conséquences de l’absence de procédure de reclassement ne sont pas, à première vue, déterminantes dans le cadre d’une décision sur effet suspensif (cf ATA/346/2017 du 28 mars 2017 dans lequel la restitution de l’effet suspensif a été refusée malgré l’absence, relevée par le recourant, d’une procédure de reclassement).</w:t>
      </w:r>
    </w:p>
    <w:p>
      <w:r>
        <w:t>Les motifs fondés retenus par l’autorité intimée se réfèrent à une rupture définitive du rapport de confiance, laquelle apparaît, à première vue, être réalisée. Malgré les mesures mises en place, la recourante a en effet à nouveau subtilisé des comprimés contenant des produits opiacés pour son usage personnel, ce qui, toujours prima facie, n’est pas admissible, en particulier au sein d’un établissement hospitalier.</w:t>
      </w:r>
    </w:p>
    <w:p>
      <w:r>
        <w:t>S’agissant de la pesée des intérêts, il n’est pas contestable que la recourante dispose d’un intérêt privé important à conserver une activité professionnelle ainsi qu’un salaire. Face à cet intérêt privé, celui des HUG à ne pas avoir en leur sein une employée qui prend sans autorisation des opiacés pour elle-même et cela malgré les mesures mises en place, apparaît très prépondérant, dès lors qu’il est établi que l’employeur dispose de la capacité financière lui permettant d’assurer les montants qui seraient mis à charge en cas d’admission du recours, l’inverse n’étant pas établi. 8)</w:t>
      </w:r>
    </w:p>
    <w:p>
      <w:r>
        <w:t>Vu ce qui précède, la restitution de l’effet suspensif sera refusée, le sort des frais étant réservé jusqu’à droit jugé au fond.</w:t>
      </w:r>
    </w:p>
    <w:p>
      <w:r>
        <w:t>- 7/7 - A/5050/2017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