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ATA/246/2024 vom 27. Februar 2024</w:t>
      </w:r>
    </w:p>
    <w:p>
      <w:r>
        <w:t>GE Cour de justice, 2024-02-27, FR</w:t>
      </w:r>
    </w:p>
    <w:p>
      <w:r>
        <w:rPr>
          <w:b/>
        </w:rPr>
        <w:t xml:space="preserve">Quelle: </w:t>
      </w:r>
      <w:r>
        <w:t>https://mcp.opencaselaw.ch/entscheid/ge_gerichte_ATA_246_2024</w:t>
      </w:r>
    </w:p>
    <w:p>
      <w:r>
        <w:t>FR: GE_GERICHTE ATA/246/2024 du 27 février 2024</w:t>
      </w:r>
    </w:p>
    <w:p>
      <w:r>
        <w:t>IT: GE_GERICHTE ATA/246/2024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litigieux le refus de l’OCPM de préaviser favorablement auprès du SEM l’autorisation de séjour du recourant et le prononcé du renvoi. 2.1 Le 1er janvier 2019 est entrée en vigueur une modification de la LEI et de l’OASA. Conformément à l'art. 126 al. 1 LEI, les demandes déposées, comme en l'espèce, après le 1er janvier 2019 sont régies par le nouveau droit (arrêt du Tribunal fédéral 2C_1075/2019 du 21 avril 2020 consid. 1.1). 2.2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Bolivie. L’art. 30 al. 1 let. b LEI permet de déroger aux conditions d’admission en Suisse, telles que prévues aux art. 18 à 29 LEI, notamment aux fins de tenir compte des cas individuels d’une extrême gravité ou d’intérêts publics majeurs. 2.3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5.6.12).</w:t>
      </w:r>
    </w:p>
    <w:p>
      <w:r>
        <w:t>- 8/16 - A/851/2023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ATA/891/2023 du 22 août 2023 consid. 3.3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Selon la jurisprudence, le simple fait pour un étranger de séjourner sur le territoire helvétique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F-2872/2018 du 26 mai 2020 consid. 6.5).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Aux termes de l'art. 96 al. 1 LEI, les autorités compétentes tiennent compte, en exerçant leur pouvoir d'appréciation, des intérêts publics, de la situation personnelle de l'étranger ainsi que de son intégration.</w:t>
      </w:r>
    </w:p>
    <w:p>
      <w:r>
        <w:t>- 9/16 - A/851/2023 3. Un étranger peut se prévaloir de l'art. 8 par. 1 CEDH pour s'opposer à l'éventuelle séparation de sa famille. 3.1 Un étranger peut invoquer la protection de sa vie familiale en lien avec un membre de sa famille, pour autant que celui-ci ait la nationalité suisse, qu'il soit au bénéfice d'une autorisation d'établissement ou d'un droit certain à une autorisation de séjour (ATF 146 I 185 consid 6.1 ; arrêts 2C_877/2022 du 2 mars 2023 consid. 1.1) étant précisé que la détention d'une telle autorisation depuis quelques mois ne suffirait a priori pas à admettre l'existence d'un droit certain de résider durablement en Suisse (ATF 146 I 185 consid 6.1 ; ATF 130 II 281 consid. 3.2). L'art. 8 CEDH, qui garantit le droit au respect de la vie privée et familiale, ne confère pas en lui-même le droit à séjourner dans un État déterminé. Toutefois, le fait de refuser un droit de séjour à un étranger dont la famille se trouve en Suisse peut entraver la vie familiale de l'intéressé et porter une atteinte disproportionnée au droit garanti par cette disposition (ATF 144 I 91 consid. 4.2 et la jurisprudence citée ; arrêt 2C_707/2021 du 12 février 2022 consid 5.1). 3.2 Selon la jurisprudence, un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(ATF 144 I 91 consid. 5.1; arrêt 2C_707/2021 du 12 février 2022 consid 5.1). Sous l'angle du droit au respect de la vie familiale (art. 8 § 1 CEDH et 13 al. 1 Cst.), il suffit en règle générale que le parent étranger exerce son droit de visite dans le cadre de séjours brefs, au besoin en aménageant les modalités quant à la fréquence et à la durée, ou par le biais de moyens de communication modernes (ATF 144 I 91 consid. 5.1; 139 I 315 consid. 2.2; arrêt 2C_707/2021 du 12 février 2022 consid 5.1).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(ATF 144 I 91 consid. 5.1 ; 140 I 145 consid. 3 et 4 ; arrêt 2C_707/2021 du 12 février 2022 consid. 5.1). 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 ATF 144 I 91 consid. 5.2.1 ; arrêt du Tribunal fédéral 2C_484/2023 du 23 janvier 2024 consid. 5.3.2).</w:t>
      </w:r>
    </w:p>
    <w:p>
      <w:r>
        <w:t>- 10/16 - A/851/2023 3.3 Sous cet angle, il convient également de tenir compte de l'intérêt fondamental de l'enfant (art. 3 de la Convention relative aux droits de l'enfant du 20 novembre 1989 [CDE; RS 0.107]) à pouvoir grandir en jouissant d'un contact étroit avec ses deux parents (ATF 144 I 91 consid. 5.2 et les références citées), étant précisé que, sous l'angle du droit des étrangers, cet élément n'est pas prépondérant par rapport aux autres et que l'art. 3 CDE ne saurait fonder une prétention directe à l'octroi ou au maintien d'une autorisation (ATF 144 I 91 consid. 5.2 ; 140 I 145 consid. 3.2). 3.4 En l’espèce, le recourant se prévaut de l’art. 8 CEDH. Le lien de filiation entre le recourant et sa fille n’est pas encore établi. L’intéressé relève que la mère de l’enfant n’a pas entrepris les démarches alors même que le jugement de désaveu date de 2018. Contrairement à ce qu’a retenu le TAPI, le dossier ne démontre pas que le père ait été actif en vue d’établir sa filiation avec son enfant. Il ne ressort pas non plus du dossier que, bien que tous deux domiciliés à Genève, le père ait entretenu des relations régulières avec sa fille depuis 2009. Les quelques photos produites devant la chambre de céans, après que le TAPI ait relevé dans son jugement que l’absence de tels documents interpellait, ne permettent pas d’établir des contacts réguliers entre père et fille depuis treize ans. Les photos « d’enfance » ne montrent l’enfant âgé d’approximativement que de six ans. Elles sont propres à établir qu’à cette époque il a passé du temps avec sa fille et que manifestement l’enfant était en confiance avec lui. Elles ne sont toutefois pas de nature à établir un lien régulier équivalent, depuis la naissance de l’enfant, à un week-end sur deux et la moitié des vacances scolaires. Les « photos d’adolescence », peu nombreuses, ne permettent pas non plus de retenir l’existence d’un lien affectif particulièrement fort exigé par la jurisprudence. La correspondance de l’enfant, qui doit être prise avec circonspection compte tenu tant de son âge, des circonstances de sa rédaction que des enjeux de la procédure, évoquent certes des rencontres entre père et fille, la prise en charge très ponctuelle de quelques frais et un attachement de l’enfant à son père. Bien que rédigé le 22 août 2023, soit quelques semaines seulement après que le père a accueilli, à teneur de ses allégations, pendant plus de trois mois (mars à juin 2023) sa fille à son domicile en l’absence de la mère, le document ne semble même pas évoquer cette période. De même, sur le plan financier, aucun document ne fait mention d’une participation du père à l’entretien régulier de sa fille ni actuellement, ni dans les années qui précèdent, alors même qu’il allègue avoir toujours travaillé depuis qu’il se trouve en Suisse et être indépendant financièrement. Si certes, son enfant a évoqué l’achat d’une paire de chaussures et la remise de petites sommes d’argent lorsqu’elle le voyait, ces montants ne satisfont pas à l’exigence d’un entretien régulier devant contribuer aux frais fixes, tels une part du loyer ou de l’assurance-maladie notamment. Ainsi, sur le plan économique aussi, les</w:t>
      </w:r>
    </w:p>
    <w:p>
      <w:r>
        <w:t>- 11/16 - A/851/2023 conditions d’une relation étroite et effective au sens de la jurisprudence précitée ne sont pas remplies. La troisième condition portant sur l'impossibilité pratique à maintenir la relation en raison de la distance qui sépare le pays de résidence de l'enfant du pays d'origine de son parent n’est pas remplie. En effet, lorsque le parent étranger ne dispose pas du droit de garde sur son enfant habilité à résider en Suisse, il suffit en règle générale, sous l'angle de l'art. 8 par. 2 CEDH, que le parent vivant à l'étranger exerce son droit de visite dans le cadre de séjours brefs ou par le biais de moyens de communication modernes, un droit plus étendu ne pouvant exister qu'en présence notamment d'un comportement irréprochable dudit parent, ce qui n’est pas le cas conformément à ce qui suit (ATF 144 I 91 consid. 5.2 et les arrêts cités), Enfin, le recourant ne peut se prévaloir d’un comportement exempt de tout reproche au vu des deux infractions pour lesquelles il a été condamné à savoir principalement la confection d’un faux aux fins de tenter d’induire en erreur l’administration et une conduite d’un véhicule sans être au bénéfice d’un permis. En l’absence de relations affectives et économiques particulièrement fortes, et malgré l’intérêt de l’adolescente à conserver auprès d’elle ses deux parents, il convient de retenir que le lien entre père et fille ne justifie pas à lui seul l’octroi d’une autorisation de séjour en Suisse. Le grief de violation de l’art. 8 CEDH apparaît ainsi mal fondé. 4. La chambre de céans relèvera pour le reste que le recourant n’invoque aucun élément qui pourrait justifier la poursuite de son séjour sous l’angle des critères d’appréciation du cas de rigueur. Si certes et comme la retenu le TAPI, la durée de séjour en Suisse est relativement longue, il ne parvient pas à prouver un séjour continu avant 2014. De surcroît, le séjour en question s’est effectué dans l’illégalité à compter de son arrivée en Suisse jusqu’en mai 2019 date du dépôt de la requête, époque à compter de laquelle l’intéressé a séjourné au bénéfice d’une seule tolérance des autorités. Dans son recours, l’intéressé se limite à rappeler qu’il se trouverait sur le territoire helvétique depuis 17 ans et qu’en conséquence la condition de durée serait largement remplie. Il ne complète pas son dossier et n’apporte aucune pièce nouvelle à même d’infirmer les faits tels qu’établis par le TAPI et le raisonnement juridique de celui-ci. Le recourant remet en cause l’ordonnance pénale du 13 avril 2022 alléguant notamment ne pas avoir pu vérifier si le contenu du document correspondait à la réalité des faits en raison de ses faibles connaissances linguistiques. Or, d’une part il oublie que l’ordonnance n’a pas été contestée et est entrée en force. D’autre part, et comme retenu par le TAPI, les connaissances linguistiques nécessaires</w:t>
      </w:r>
    </w:p>
    <w:p>
      <w:r>
        <w:t>- 12/16 - A/851/2023 pour une bonne compréhension des dates apparaissent limitées. C’est en conséquence à tort que le recourant plaide qu’il n’a aucune condamnation pénale à son actif et qu’il doit être retenu qu’il respecte la sécurité et l’ordre publics ainsi que les valeurs de la Constitution. À la condamnation pour faux dans les titres s’ajoute celle d’avoir conduit un motocycle Yamaha sans être titulaire du permis de conduire requis. L’indépendance financière que revendique le recourant ne suffit pas à remplir les exigences jurisprudentielles d’une réussite professionnelle remarquable impliquant des connaissances professionnelles si spécifiques qu’il ne pourrait les mettre en valeur dans son pays d’origine. En effet l’activité développée dans le bâtiment et en qualité de DJ et l’expérience professionnelle ainsi acquise, cumulée aux compétences linguistiques développées en français, pourront être utilisées dans son pays d’origine. Le recourant ne peut pas être suivi lorsqu’il soutient n’avoir plus aucun réseau personnel en Bolivie dès lors que son frère et deux de ses sœurs y vivent. De même, aucun élément précis du dossier ne vient soutenir une intégration sociale particulièrement poussée en Suisse. Pour le surplus, les longs développements du recours, composés pour leur majeure partie de citations du jugement querellé, sous le grief « interprétation arbitraire et disproportionné du TAPI » ne font qu’opposer l’appréciation du recourant à celle de l’autorité administrative, confirmée par le TAPI, ce qui n’est pas admissible. Enfin, le recourant ne peut pas déduire de droit au séjour tiré d’une application par analogie de l’« opération Papyrus », sa requête ayant été déposée après la fin de l’opération le 31 décembre 2018. C’est partant à juste titre que tant l'autorité intimée, qui n'a pas abusé de son pouvoir d'appréciation, que le TAPI ont retenu que les conditions pour préaviser favorablement l’autorisation de séjour du recourant n’étaient pas réalisées.</w:t>
      </w:r>
    </w:p>
    <w:p>
      <w:r>
        <w:rPr>
          <w:b/>
        </w:rPr>
        <w:t>E. 5</w:t>
      </w:r>
    </w:p>
    <w:p>
      <w:r>
        <w:t>Reste à examiner si le renvoi prononcé par l’OCPM était fondé.</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En l'espèce, dès lors qu'il a, à juste titre, refusé de préaviser favorablement l’autorisation de séjour du recourant, l'intimé devait prononcer son renvoi. Le</w:t>
      </w:r>
    </w:p>
    <w:p>
      <w:r>
        <w:t>- 13/16 - A/851/2023 recourant n’invoque aucun élément permettant de retenir que celui-ci ne serait pas possible, licite ou ne pourrait raisonnablement être exigé. Entièrement mal fondé, le recours sera rejeté.</w:t>
      </w:r>
    </w:p>
    <w:p>
      <w:r>
        <w:rPr>
          <w:b/>
        </w:rPr>
        <w:t>E. 6</w:t>
      </w:r>
    </w:p>
    <w:p>
      <w:r>
        <w:t>Vu l’issue du litige, un émolument de CHF 400.- sera mis à la charge du recourant (art. 87 al. 1 LPA), et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