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ATA/245/2020 vom 3. März 2020</w:t>
      </w:r>
    </w:p>
    <w:p>
      <w:r>
        <w:t>GE Cour de justice, 2020-03-03, FR</w:t>
      </w:r>
    </w:p>
    <w:p>
      <w:r>
        <w:rPr>
          <w:b/>
        </w:rPr>
        <w:t xml:space="preserve">Quelle: </w:t>
      </w:r>
      <w:r>
        <w:t>https://mcp.opencaselaw.ch/entscheid/ge_gerichte_ATA_245_2020</w:t>
      </w:r>
    </w:p>
    <w:p>
      <w:r>
        <w:t>FR: GE_GERICHTE ATA/245/2020 du 3 mars 2020</w:t>
      </w:r>
    </w:p>
    <w:p>
      <w:r>
        <w:t>IT: GE_GERICHTE ATA/245/2020 del 3 marzo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t>b.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w:t>
      </w:r>
    </w:p>
    <w:p>
      <w:r>
        <w:t>- 7/11 - A/4074/2019 précédente (art. 80. al. 1 let. b LPA : faits nouveaux « anciens » ; ATA/1620/2019 du 5 novembre 2019 consid. 3a ; ATA/1412/2017 du 17 octobre 2017).</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précité consid. 3a ; ATA/159/2018 du 20 février 2018 consid. 3a ; ATA/1412/2017 précité).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(ATA/1620/2019 précité consid. 3a ; ATA/159/2018 précité consid. 3a ; ATA/830/2016 du 4 octobre 2016 consid. 2a).</w:t>
      </w:r>
    </w:p>
    <w:p>
      <w:r>
        <w:t>Une activité professionnelle récente au sein d’une association ou une mauvaise situation de santé non étayée par des certificats médicaux actualisés, alors que les maux dont le recourant se prévaut impliquent une prise en charge dans la durée, ne sont pas des faits nouveaux au sens de cette disposition (ATA/291/2017 du 14 mars 2017). Bien que l’écoulement du temps et la poursuite d’une intégration socio-professionnelle constituent des modifications des circonstances, ces éléments ne peuvent pas non plus être qualifiés de notables au sens de l’art. 48 let. b LPA lorsqu’ils résultent uniquement du fait que l’étranger ne s’est pas conformé à une décision initiale malgré son entrée en force (ATA/1620/2019 précité consid. 3a ; ATA/598/2016 du 12 juillet 2016). Un changement de législation peut fonder le réexamen d’une décision, à condition que l’état de fait déterminant se soit essentiellement modifié après le changement législatif (ATF 136 II 177 consid. 2.2.1).</w:t>
      </w:r>
    </w:p>
    <w:p>
      <w:r>
        <w:t>c.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L'autorité administrative qui a pris une décision entrée en force n'est obligée de la reconsidérer que si sont réalisées les conditions de l'art. 48 al. 1 LPA.</w:t>
      </w:r>
    </w:p>
    <w:p>
      <w:r>
        <w:t>d. Saisie d'une demande de reconsidération, l'autorité examine préalablement si les conditions de l'art. 48 LPA sont réalisées. Si tel n'est pas le cas, elle rend une décision de refus d'entrer en matière qui peut faire l'objet d'un recours dont le seul</w:t>
      </w:r>
    </w:p>
    <w:p>
      <w:r>
        <w:t>- 8/11 - A/4074/2019 objet est de contrôler la bonne application de cette disposition (ATF 117 V 8 consid. 2 ; 109 Ib 246 consid 4a ; Thierry TANQUEREL, op. cit., n. 1430).</w:t>
      </w:r>
    </w:p>
    <w:p>
      <w:r>
        <w:t>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ATA/1412/2017 du 17 octobre 2017 consid. 4c).</w:t>
      </w:r>
    </w:p>
    <w:p>
      <w:r>
        <w:rPr>
          <w:b/>
        </w:rPr>
        <w:t>E. 3</w:t>
      </w:r>
    </w:p>
    <w:p>
      <w:r>
        <w:t>a. Dans sa demande de reconsidération du 17 janvier 2018, le recourant ne fait valoir qu'un élément justifiant, selon lui, la reconsidération, à savoir la nouvelle pratique administrative liée à l'opération Papyrus.</w:t>
      </w:r>
    </w:p>
    <w:p>
      <w:r>
        <w:t>b. Toutefois et contrairement à ce que soutient le recourant et selon la jurisprudence constante de la chambre administrative, la mise en oeuvre du programme Papyrus ne constitue pas un fait nouveau au sens de l'art. 48 al. 1 let. b LPA (ATA/1288/2019 du 27 août 2019 ; ATA/1244/2019 du 13 août 2019 ; ATA/244/2019 du 12 mars 2019 consid. 4).</w:t>
      </w:r>
    </w:p>
    <w:p>
      <w:r>
        <w:t>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de l'ordonnance relative à l'admission, au séjour et à l'exercice d'une activité lucrative du 24 octobre 2007 - OASA - RS 142.201), dont les critères peuvent entrer en ligne de compte pour l'examen desdites raisons personnelles majeures (ATA/584/2017 du 23 mai 2017 consid. 4c).</w:t>
      </w:r>
    </w:p>
    <w:p>
      <w:r>
        <w:t>Même si les critères permettant, le cas échéant, à l’intéressé de bénéficier de cette opération n'ont pas été explicitement examinés sous cet angle par la chambre de céans dans l’ATA/1413/2017 du 17 octobre 2017, cette dernière a néanmoins examiné tous les critères et dispositions légales applicables à la reconnaissance de raisons personnelles majeures justifiant la poursuite du séjour en Suisse. Elle avait ainsi retenu que la situation du recourant ne présentait pas les caractéristiques d'un cas d'extrême gravité, dans la mesure où son intégration ne présentait pas un caractère exceptionnel, que la durée de son séjour en Suisse devait être relativisée, que son comportement n’avait pas été irréprochable, que son entreprise individuelle ne justifiait pas le maintien de sa présence en Suisse et, enfin, qu'il avait gardé des liens importants avec son pays d'origine.</w:t>
      </w:r>
    </w:p>
    <w:p>
      <w:r>
        <w:t>- 9/11 - A/4074/2019</w:t>
      </w:r>
    </w:p>
    <w:p>
      <w:r>
        <w:t>Par surabondance, on relèvera que c’est en février 2017 que la brochure officielle « Opération Papyrus – Conditions et procédure pour le dépôt d’une demande de normalisation » a été publiée par les autorités genevoises, disponible en ligne (https://demain.ge.ch/document/brochure-papyrus), les critères pour pouvoir bénéficier de cette opération étant ainsi connus dès ce mois-là et ayant pu être invoqués par le recourant avant le prononcé de l'arrêt précité.</w:t>
      </w:r>
    </w:p>
    <w:p>
      <w:r>
        <w:t>L'existence de l'« opération Papyrus » ne saurait ainsi justifier l'entrée en matière sur la demande de reconsidération.</w:t>
      </w:r>
    </w:p>
    <w:p>
      <w:r>
        <w:t>c. Enfin, le recourant ne soulève pas, à juste titre, que sa situation personnelle aurait changé de manière notable, au point qu'il s'imposerait d'entrer en matière sur sa demande.</w:t>
      </w:r>
    </w:p>
    <w:p>
      <w:r>
        <w:t>Au vu de ce qui précède, l'OCPM n'a pas violé la loi ni mésusé de son pouvoir d'appréciation en refusant d'entrer en matière sur la demande de reconsidération. Mal fondé, le recours sera donc rejeté.</w:t>
      </w:r>
    </w:p>
    <w:p>
      <w:r>
        <w:rPr>
          <w:b/>
        </w:rPr>
        <w:t>E. 4</w:t>
      </w:r>
    </w:p>
    <w:p>
      <w:r>
        <w:t>Le présent arrêt rend sans objet la requête de mesures provisionnelles.</w:t>
      </w:r>
    </w:p>
    <w:p>
      <w:r>
        <w:rPr>
          <w:b/>
        </w:rPr>
        <w:t>E. 5</w:t>
      </w:r>
    </w:p>
    <w:p>
      <w:r>
        <w:t>Compte tenu de l'issue du litige, un émolument de CHF 550.- sera mis à la charge du recourant qui ne peut se voir octroyer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