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ATA/244/2017 vom 28. Februar 2017</w:t>
      </w:r>
    </w:p>
    <w:p>
      <w:r>
        <w:t>GE Cour de justice, 2017-02-28, FR</w:t>
      </w:r>
    </w:p>
    <w:p>
      <w:r>
        <w:rPr>
          <w:b/>
        </w:rPr>
        <w:t xml:space="preserve">Quelle: </w:t>
      </w:r>
      <w:r>
        <w:t>https://mcp.opencaselaw.ch/entscheid/ge_gerichte_ATA_244_2017</w:t>
      </w:r>
    </w:p>
    <w:p>
      <w:r>
        <w:t>FR: GE_GERICHTE ATA/244/2017 du 28 février 2017</w:t>
      </w:r>
    </w:p>
    <w:p>
      <w:r>
        <w:t>IT: GE_GERICHTE ATA/244/2017 del 28 febbraio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t>La chambre de céans est compétente pour trancher le présent litige, dans la mesure où, en dépit de l’indication de la voie de recours figurant dans la décision attaquée et malgré la lettre de l’art. 49 du règlement relatif aux établissements ouverts ou fermés d’exécution des peines et des sanctions disciplinaires du 25 juillet 2007 (REPSD - F 1 50.08), aucune des chambres pénales de la Cour de justice ne s’avère compétente, que cela soit en application des art. 393 al. 1 et 398 al. 1 du code de procédure pénale du 5 octobre 2007 (CPP - RS 312.0) ou de l’art. 42 de la loi d’application du code pénal suisse et d’autres lois fédérales en matière pénale du 27 août 2009 (LaCP - E 4 10 ; ATA/348/2015 du 14 avril 2015 consid. 1).</w:t>
      </w:r>
    </w:p>
    <w:p>
      <w:r>
        <w:rPr>
          <w:b/>
        </w:rPr>
        <w:t>E. 2</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l’occurrence, le recourant dispose d’un intérêt digne de protection à recourir contre la sanction prononcée contre lui. La légalité de celle-ci doit pouvoir faire l’objet d’un contrôle en vertu de la jurisprudence du Tribunal fédéral</w:t>
      </w:r>
    </w:p>
    <w:p>
      <w:r>
        <w:t>- 5/9 - A/3332/2016 précitée, nonobstant l’absence d’intérêt actuel, puisque cette sanction a déjà été exécutée, dans la mesure où cette situation pourrait encore se présenter (ATA/1007/2016 du 29 novembre 2016 consid. 2e et la jurisprudence citée), dès lors qu’il n’a pas quitté la prison à ce jour.</w:t>
      </w:r>
    </w:p>
    <w:p>
      <w:r>
        <w:t>Le recours est donc recevable à tous points de vue.</w:t>
      </w:r>
    </w:p>
    <w:p>
      <w:r>
        <w:rPr>
          <w:b/>
        </w:rPr>
        <w:t>E. 3</w:t>
      </w:r>
    </w:p>
    <w:p>
      <w:r>
        <w:t>Quand bien même il serait préférable que le directeur de l’établissement signe la décision de sanction avant sa notification au détenu concerné – ce qui ne semble pas avoir été le cas ici –, il apparaît que ledit directeur a très rapidement contresigné cette décision. Celui-ci a du reste allégué dans son courrier du 22 février 2017 que la décision avait été notifié au recourant avec sa contresignature. L’intéressé n’a pas émis de grief concernant une éventuelle absence de prononcé par l’autorité compétente. Il convient donc d’admettre que la décision querellée a été rendue par l’autorité compétente.</w:t>
      </w:r>
    </w:p>
    <w:p>
      <w:r>
        <w:rPr>
          <w:b/>
        </w:rPr>
        <w:t>E. 4</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En l’espèce, il ressort clairement de la réplique que le recourant savait, avant que la décision querellée soit prononcée, ce qui lui était reproché. En outre, les rapports d’agents des 24 et 26 septembre 2016, succincts, ne contiennent pas d’éléments qui n’auraient alors pas été connus de l’intéressé. Enfin, ce dernier n’a pas contesté avoir été entendu oralement avant le prononcé de la sanction, conformément à l’art. 46 al. 2 REPSD, et rien ne permet de retenir que l’autorité n’aurait pas pris en considération ses explications avant ce prononcé.</w:t>
      </w:r>
    </w:p>
    <w:p>
      <w:r>
        <w:t>En tout état de cause, la chambre administrative, seule autorité de recours au niveau cantonal, connaît du présent contentieux avec un plein pouvoir de cognition. Dès lors, toute éventuelle violation du droit être entendu peut être</w:t>
      </w:r>
    </w:p>
    <w:p>
      <w:r>
        <w:t>- 6/9 - A/3332/2016 réparée par l’instruction de la cause qui se déroule devant elle. Dans le présent cas, le recourant a pu expliquer sa position dans son recours et sa réplique. La violation du droit être entendu a été réparée devant la chambre de céans (dans ce sens ATA/1007/2016 précité consid. 6b ; ATA/734/2015 du 14 juillet 2015 consid. 4).</w:t>
      </w:r>
    </w:p>
    <w:p>
      <w:r>
        <w:t>Le grief de violation du droit d’être entendu est ainsi infondé.</w:t>
      </w:r>
    </w:p>
    <w:p>
      <w:r>
        <w:rPr>
          <w:b/>
        </w:rPr>
        <w:t>E. 5</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(ATA/73/2017 du 31 janvier 2017 consid. consid. 5b ; ATA/309/2016 du 12 avril 2016 consid. 5b ; ATA/972/2015 du 22 septembre 2015 consid. 2).</w:t>
      </w:r>
    </w:p>
    <w:p>
      <w:r>
        <w:t>c. La sanction doit être conforme au principe de la proportionnalité (ATA/309/2016 précité consid. 6).</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w:t>
      </w:r>
    </w:p>
    <w:p>
      <w:r>
        <w:t>- 7/9 - A/3332/2016</w:t>
      </w:r>
    </w:p>
    <w:p>
      <w:r>
        <w:rPr>
          <w:b/>
        </w:rPr>
        <w:t>E. 6</w:t>
      </w:r>
    </w:p>
    <w:p>
      <w:r>
        <w:t>a. Conformément aux art. 1 let. f et 5 REPSD, le statut des personnes incarcérées à La Brenaz est régi par ce règlement.</w:t>
      </w:r>
    </w:p>
    <w:p>
      <w:r>
        <w:t>b. En vertu de l’art. 42 REPSD, les personnes détenues ont l’obligation de respecter les dispositions du présent règlement, les instructions du directeur général de l’office cantonal de la détention, ainsi que les ordres du directeur de l’établissement et du personnel.</w:t>
      </w:r>
    </w:p>
    <w:p>
      <w:r>
        <w:t>De par l’art. 44 REPSD, il est interdit notamment : f) de sortir des locaux de travail des outils, des ustensiles, des matériaux ou des marchandises, sans autorisation préalable du personnel ; j) d’une façon générale, d’adopter un comportement contraire au but de l’établissement.</w:t>
      </w:r>
    </w:p>
    <w:p>
      <w:r>
        <w:t>c. Aux termes de l’art. 46 REPSD, si une personne détenue enfreint le présent règlement ou contrevient au plan d’exécution de la sanction pénale, une sanction proportionnée à sa faute, ainsi qu’à la nature et à la gravité de l’infraction, lui est infligée (al. 1) ; le directeur de l’établissement est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 (al. 3) ; les sanctions prévues à l’al. 3 peuvent être cumulées (al. 4).</w:t>
      </w:r>
    </w:p>
    <w:p>
      <w:r>
        <w:t>d. En l’espèce, il est incontesté que le recourant a sorti de l’atelier de peinture de l’établissement un demi-rouleau de scotch carrosserie sans autorisation préalable du personnel et a donc réalisé les conditions objectives de l’interdiction prévue à l’art. 44 let. f REPSD.</w:t>
      </w:r>
    </w:p>
    <w:p>
      <w:r>
        <w:t>Même à considérer qu’il l’a fait par négligence – ce qui peut demeurer indécis –, il a en tout état de cause admis n’avoir pas informé les agents avec lesquels il avait eu des contacts après qu’il se soit rendu compte, à son retour dans sa cellule, que ledit demi-rouleau se trouvait dans sa poche, et avoir attendu à tout le moins le soir du surlendemain avant d’en informer le personnel, alors que ce dernier procédait à une fouille de sa cellule. Ainsi, en s’abstenant de rendre le demi-rouleau à n’importe quel agent de détention immédiatement après avoir découvert qu’il en avait un dans la poche de sa blouse, il a intentionnellement passé outre aux interdictions prescrites par l’art. 44 let. f et j REPSD.</w:t>
      </w:r>
    </w:p>
    <w:p>
      <w:r>
        <w:t>Dans ces circonstances, la sanction querellée, qui était en relation avec le travail en atelier et ne durcissait pas ses conditions de détention mais supprimait pendant trois jours les activités en commun avec les autres détenus, reposait non seulement sur une base réglementaire, l’art. 46 al. 3 let. b REPSD, mais était aussi conforme au principe de la proportionnalité. Il est à cet égard notamment relevé que la durée de trois jours est relativement limitée par rapport à la durée maximale de trois mois et que, pour la sécurité de l’établissement et le bon déroulement du</w:t>
      </w:r>
    </w:p>
    <w:p>
      <w:r>
        <w:t>- 8/9 - A/3332/2016 travail en atelier, il est particulièrement important que les détenus n’emportent pas avec eux des objets hors de leur lieu de travail.</w:t>
      </w:r>
    </w:p>
    <w:p>
      <w:r>
        <w:rPr>
          <w:b/>
        </w:rPr>
        <w:t>E. 7</w:t>
      </w:r>
    </w:p>
    <w:p>
      <w:r>
        <w:t>Vu ce qui précède, la décision attaquée étant conforme au droit,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