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ATA/243/2024 vom 27. Februar 2024</w:t>
      </w:r>
    </w:p>
    <w:p>
      <w:r>
        <w:t>GE Cour de justice, 2024-02-27, FR</w:t>
      </w:r>
    </w:p>
    <w:p>
      <w:r>
        <w:rPr>
          <w:b/>
        </w:rPr>
        <w:t xml:space="preserve">Quelle: </w:t>
      </w:r>
      <w:r>
        <w:t>https://mcp.opencaselaw.ch/entscheid/ge_gerichte_ATA_243_2024</w:t>
      </w:r>
    </w:p>
    <w:p>
      <w:r>
        <w:t>FR: GE_GERICHTE ATA/243/2024 du 27 février 2024</w:t>
      </w:r>
    </w:p>
    <w:p>
      <w:r>
        <w:t>IT: GE_GERICHTE ATA/243/2024 del 27 febbraio 2024</w:t>
      </w:r>
    </w:p>
    <w:p>
      <w:pPr>
        <w:pStyle w:val="Heading2"/>
      </w:pPr>
      <w:r>
        <w:t>Erwägungen</w:t>
      </w:r>
    </w:p>
    <w:p>
      <w:r>
        <w:rPr>
          <w:b/>
        </w:rPr>
        <w:t>E. 1</w:t>
      </w:r>
    </w:p>
    <w:p>
      <w:r>
        <w:t>La recevabilité du recours a déjà été admise par arrêt de la chambre administrative du 10 mai 2022 (ATA/487/2022) et le présent arrêt fait suite à celui du Tribunal fédéral du 12 janvier 2024 (2C_483/2022).</w:t>
      </w:r>
    </w:p>
    <w:p>
      <w:r>
        <w:rPr>
          <w:b/>
        </w:rPr>
        <w:t>E. 2.1</w:t>
      </w:r>
    </w:p>
    <w:p>
      <w:r>
        <w:t>En application du principe de l’autorité de l’arrêt de renvoi du Tribunal fédéral, l’autorité cantonale à laquelle la cause est renvoyée par celui-ci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La motivation de l’arrêt de renvoi détermine dans quelle mesure la cour cantonale est liée à la première décision, décision de renvoi qui fixe aussi bien le cadre du nouvel état de fait que celui de la nouvelle motivation juridique (arrêt du Tribunal fédéral 6B_904/2020 du 7 septembre 2020 consid. 1.1 et les références citées).</w:t>
      </w:r>
    </w:p>
    <w:p>
      <w:r>
        <w:rPr>
          <w:b/>
        </w:rPr>
        <w:t>E. 2.2</w:t>
      </w:r>
    </w:p>
    <w:p>
      <w:r>
        <w:t>La procédure administrative est régie par la maxime inquisitoire, selon laquelle l’autorité établit les faits d’office (art. 19 LPA) sans être limitée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Ce principe n’est toutefois pas absolu ;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w:t>
      </w:r>
    </w:p>
    <w:p>
      <w:r>
        <w:t>- 4/5 - A/4122/2021 arrêt du Tribunal fédéral 1C_454/2017 du 16 mai 2018 consid. 4.1 ; ATA/533/2023 du 23 mai 2023 consid. 3.2 et l’arrêt cité).</w:t>
      </w:r>
    </w:p>
    <w:p>
      <w:r>
        <w:rPr>
          <w:b/>
        </w:rPr>
        <w:t>E. 2.3</w:t>
      </w:r>
    </w:p>
    <w:p>
      <w:r>
        <w:t>En l’espèce, le Tribunal fédéral a renvoyé la cause à la chambre de céans afin notamment qu’elle reprenne l’instruction et précise l’état de fait. Les deux parties s’accordent sur un renvoi de la cause à la CFA afin de compléter l’instruction de la cause. Il sera ainsi donné suite à cette conclusion commune.</w:t>
      </w:r>
    </w:p>
    <w:p>
      <w:r>
        <w:rPr>
          <w:b/>
        </w:rPr>
        <w:t>E. 3</w:t>
      </w:r>
    </w:p>
    <w:p>
      <w:r>
        <w:t>Vu l’issue du litige, il ne sera pas perçu d’émolument (art. 87 al. 1 LPA), et une indemnité de procédure de CHF 1'000.- sera allouée aux recourants qui y ont conclu (art. 87 al. 2 LPA) à la charge de la commission foncière agricole.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