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ATA/243/2017 vom 28. Februar 2017</w:t>
      </w:r>
    </w:p>
    <w:p>
      <w:r>
        <w:t>GE Cour de justice, 2017-02-28, FR</w:t>
      </w:r>
    </w:p>
    <w:p>
      <w:r>
        <w:rPr>
          <w:b/>
        </w:rPr>
        <w:t xml:space="preserve">Quelle: </w:t>
      </w:r>
      <w:r>
        <w:t>https://mcp.opencaselaw.ch/entscheid/ge_gerichte_ATA_243_2017</w:t>
      </w:r>
    </w:p>
    <w:p>
      <w:r>
        <w:t>FR: GE_GERICHTE ATA/243/2017 du 28 février 2017</w:t>
      </w:r>
    </w:p>
    <w:p>
      <w:r>
        <w:t>IT: GE_GERICHTE ATA/243/2017 del 28 febbraio 2017</w:t>
      </w:r>
    </w:p>
    <w:p>
      <w:pPr>
        <w:pStyle w:val="Heading2"/>
      </w:pPr>
      <w:r>
        <w:t>Regeste</w:t>
      </w:r>
    </w:p>
    <w:p>
      <w:r>
        <w:t>Résumé: Selon la jurisprudence constante de la chambre administrative en matière d'allocations, le critère choisi pour définir quelles sont les personnes qui occupent un logement est celui de l'inscription dans les registres de l'OCPM, et non celui du domicile effectif au sens du Code civil suisse.</w:t>
      </w:r>
    </w:p>
    <w:p>
      <w:pPr>
        <w:pStyle w:val="Heading2"/>
      </w:pPr>
      <w:r>
        <w:t>Erwägungen</w:t>
      </w:r>
    </w:p>
    <w:p>
      <w:r>
        <w:rPr>
          <w:b/>
        </w:rPr>
        <w:t>E. 12</w:t>
      </w:r>
    </w:p>
    <w:p>
      <w:r>
        <w:t>septembre 1985 - LPA - E 5 10). 2)</w:t>
      </w:r>
    </w:p>
    <w:p>
      <w:r>
        <w:t>Le présent litige porte sur la conformité à la législation de la décision de l'intimé de supprimer le droit du recourant à une allocation de logement avec effet au 1er février 2016. 3)</w:t>
      </w:r>
    </w:p>
    <w:p>
      <w:r>
        <w:t>Le recourant ne conteste pas que, suite au départ de sa fille de l'appartement familial le 15 octobre 2015, seuls lui et son fils, soit deux personnes, vivaient dans l'appartement de cinq pièces dont il est locataire. Il allègue cependant avoir exercé une garde alternée sur sa fille qui vivait chez lui une semaine sur deux, un week-end sur deux et la moitié des vacances scolaires. Elle avait d’ailleurs repris son adresse dès le 22 février 2016. 4) a. Aux termes des art. 39A al. 1 LGL et 22 al. 1 let. a RGL, un locataire peut être mis au bénéfice d’une allocation de logement si le loyer d’un immeuble admis au bénéfice de la présente loi constitue pour lui une charge manifestement trop lourde, eu égard à son revenu et à sa fortune, et si un échange avec un logement moins onéreux ne peut se réaliser sans inconvénients majeurs.</w:t>
      </w:r>
    </w:p>
    <w:p>
      <w:r>
        <w:t>- 5/7 - A/905/2016</w:t>
      </w:r>
    </w:p>
    <w:p>
      <w:r>
        <w:t>À teneur de l'art. 28 RGL, la période d’application s’étend du 1er avril au 31 mars de l’année suivante. L’allocation prend effet le premier jour du mois suivant la décision et est versée mensuellement. Lors de chaque nouvelle période, l’allocataire doit présenter une nouvelle demande au service compétent. Lorsqu’un locataire au bénéfice d’une allocation quitte son logement, l’allocation n’est due que pour la période où il a occupé les locaux.</w:t>
      </w:r>
    </w:p>
    <w:p>
      <w:r>
        <w:t>b. Selon l’art. 22 RGL, l’allocation de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et l'art. 31C al. 1 let. e LGL, il y a sous-occupation si le nombre de pièces de l’appartement excède de plus de deux unités le nombre de personnes qui l’occupent (ATA/357/2016 du 26 avril 2016 et les références citées). Sont considérées comme occupant le logement, les personnes ayant un domicile légal, déclaré à l’OCPM, identique à celui du titulaire du bail (art. 31C al. 1 let. f LGL). Selon l’art. 31C al.1 let. g LGL, la conclusion d’un bail en sous-occupation lors de garde partagée d’enfants mineurs, pour autant que le taux de garde attribué et effectif soit d’au moins 40 %, est admise.</w:t>
      </w:r>
    </w:p>
    <w:p>
      <w:r>
        <w:t>c. Selon la jurisprudence constante de la chambre administrative en matière d'allocations, le critère choisi pour définir quelles sont les personnes qui occupent un logement est celui de l'inscription dans les registres de l'OCPM, et non celui du domicile effectif au sens des art. 23 et suivants du Code civil suisse du 10 décembre l907 (CC - RS 210 ; ATA/357/2016 précité et les références citées).</w:t>
      </w:r>
    </w:p>
    <w:p>
      <w:r>
        <w:t>Le critère de l’inscription du domicile dans les registres de l’OCPM est le seul à prendre en considération par l'autorité. Les seules situations dans lesquelles il n’a pas été tenu compte de ce critère sont des cas dans lesquels une personne n’avait pas effectué les démarches qu’elle aurait dû effectuer auprès de l’OCPM pour annoncer son déménagement d’un logement alors qu’elle l’avait quitté à la suite d’une séparation conjugale (ATA/357/2016 précité et la jurisprudence citée).</w:t>
      </w:r>
    </w:p>
    <w:p>
      <w:r>
        <w:t>En conséquence, seules les dates inscrites dans les registres de l'OCPM font foi, à l'exclusion de celles résultant d'un éventuel contrat de bail (ATA/357/2016 précité).</w:t>
      </w:r>
    </w:p>
    <w:p>
      <w:r>
        <w:t>d. Selon l’art. 29 RGL, le bénéficiaire de l’allocation doit informer, sans délai, le service compétent de toute modification significative de sa situation ou de celle de l’un des membres du groupe de personnes occupant le logement, propre à changer le montant de l’allocation ou à la supprimer, notamment en cas de début ou cessation d’activité ou de changement dans la composition du groupe de personnes occupant le logement (al. 1) ; le service compétent examine les justificatifs concernant la nouvelle situation du bénéficiaire dans un délai de trente jours au maximum et fixe le nouveau montant de l’allocation ou la supprime</w:t>
      </w:r>
    </w:p>
    <w:p>
      <w:r>
        <w:t>- 6/7 - A/905/2016 (al. 2) ; la décision du service compétent prend effet au plus tôt le premier jour du mois suivant la date de modification de la situation du locataire (al. 3). 5)</w:t>
      </w:r>
    </w:p>
    <w:p>
      <w:r>
        <w:t>En l'espèce, il ressort expressément des registres de l'OCPM, et le recourant ne le conteste pas, que les conditions d'occupation du logement n’étaient plus respectées durant le mois de février 2016, l'appartement de cinq pièces étant sous- occupé par deux personnes seulement. Conformément à la jurisprudence constante de la chambre de céans mentionnée supra, le critère choisi est en effet celui de l’inscription dans les registres de l’OCPM et non celui du domicile effectif. Dès lors que selon l’OCPM, la fille du recourant ne résidait pas à l’adresse de son père durant cette période, le fait qu’elle y ait été présente une semaine sur deux, un week-end sur deux et durant la moitié des vacances scolaires n’est pas pertinent. Dès lors, l'allocation de logement ne pouvait pas être accordée.</w:t>
      </w:r>
    </w:p>
    <w:p>
      <w:r>
        <w:t>Il convient en outre de relever que le recourant n'a pas informé l'intimé de ce changement de situation de son groupe familial occupant le logement.</w:t>
      </w:r>
    </w:p>
    <w:p>
      <w:r>
        <w:t>Dans ces circonstances, c'est à juste titre que l'intimé a supprimé le droit à l'allocation de logement du recourant durant le mois de février 2016. 6)</w:t>
      </w:r>
    </w:p>
    <w:p>
      <w:r>
        <w:t>Au vu de ce qui précède, le recours sera rejeté.</w:t>
      </w:r>
    </w:p>
    <w:p>
      <w:r>
        <w:t>Compte tenu des circonstances particulières du cas d’espèce, il sera, exceptionnellement, renoncé à la perception d'un émolument, malgré l’issue du litige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