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ATA/23/2016 vom 12. Januar 2016</w:t>
      </w:r>
    </w:p>
    <w:p>
      <w:r>
        <w:t>GE Cour de justice, 2016-01-12, FR</w:t>
      </w:r>
    </w:p>
    <w:p>
      <w:r>
        <w:rPr>
          <w:b/>
        </w:rPr>
        <w:t xml:space="preserve">Quelle: </w:t>
      </w:r>
      <w:r>
        <w:t>https://mcp.opencaselaw.ch/entscheid/ge_gerichte_ATA_23_2016</w:t>
      </w:r>
    </w:p>
    <w:p>
      <w:r>
        <w:t>FR: GE_GERICHTE ATA/23/2016 du 12 janvier 2016</w:t>
      </w:r>
    </w:p>
    <w:p>
      <w:r>
        <w:t>IT: GE_GERICHTE ATA/23/2016 del 12 gennaio 2016</w:t>
      </w:r>
    </w:p>
    <w:p>
      <w:pPr>
        <w:pStyle w:val="Heading2"/>
      </w:pPr>
      <w:r>
        <w:t>Erwägungen</w:t>
      </w:r>
    </w:p>
    <w:p>
      <w:r>
        <w:rPr>
          <w:b/>
        </w:rPr>
        <w:t>E. 4</w:t>
      </w:r>
    </w:p>
    <w:p>
      <w:r>
        <w:t>décembre 2015). Force est ainsi de retenir que le recours n’a pas d’objet, le seul acte attaquable n’étant pas mis en cause et les conclusions étant exorbitantes au cadre du litige. 3)</w:t>
      </w:r>
    </w:p>
    <w:p>
      <w:r>
        <w:t>Au vu de ce qui précède, le recours sera déclaré irrecevable.</w:t>
      </w:r>
    </w:p>
    <w:p>
      <w:r>
        <w:t>Vu l’issue du litige, un émolument de CHF 500.-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