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ATA/238/2016 vom 15. März 2016</w:t>
      </w:r>
    </w:p>
    <w:p>
      <w:r>
        <w:t>GE Cour de justice, 2016-03-15, FR</w:t>
      </w:r>
    </w:p>
    <w:p>
      <w:r>
        <w:rPr>
          <w:b/>
        </w:rPr>
        <w:t xml:space="preserve">Quelle: </w:t>
      </w:r>
      <w:r>
        <w:t>https://mcp.opencaselaw.ch/entscheid/ge_gerichte_ATA_238_2016</w:t>
      </w:r>
    </w:p>
    <w:p>
      <w:r>
        <w:t>FR: GE_GERICHTE ATA/238/2016 du 15 mars 2016</w:t>
      </w:r>
    </w:p>
    <w:p>
      <w:r>
        <w:t>IT: GE_GERICHTE ATA/238/2016 del 15 marzo 2016</w:t>
      </w:r>
    </w:p>
    <w:p>
      <w:pPr>
        <w:pStyle w:val="Heading2"/>
      </w:pPr>
      <w:r>
        <w:t>Regeste</w:t>
      </w:r>
    </w:p>
    <w:p>
      <w:r>
        <w:t>Résumé: Recourant placé en cellule forte durant sept jours pour avoir fait mine de tirer à deux reprises sur une surveillante. Le recourant conserve un intérêt juridique à l'examen de son recours, dès lors qu'il se trouve encore en détention et que la situation pourrait à nouveau se présenter. La décision de punir le recourant est fondée dans son principe et le choix du type de sanction est correct. Toutefois elle est disproportionnée dans sa quotité, au vu de l'infraction isolée au RRIP et des précédents qu'a eu la chambre administrative à trancher portant sur des menaces. La prison ne peut justifier une telle quotité sur le fait que des attentats avaient eu lieu à Paris le jour précédent et sur une sanction disciplinaire prononcée à l'encontre du recourant lors d'un séjour antérieur à la prison. Recours partiellement admis.</w:t>
      </w:r>
    </w:p>
    <w:p>
      <w:pPr>
        <w:pStyle w:val="Heading2"/>
      </w:pPr>
      <w:r>
        <w:t>Erwägungen</w:t>
      </w:r>
    </w:p>
    <w:p>
      <w:r>
        <w:rPr>
          <w:b/>
        </w:rPr>
        <w:t>E. 26</w:t>
      </w:r>
    </w:p>
    <w:p>
      <w:r>
        <w:t>septembre 2010 - LOJ - E 2 05 ; art. 62 al. 1 let. a de la loi sur la procédure administrative du 12 septembre 1985 - LPA - E 5 10). 2) a. À teneur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2c/aa p. 43 ; arrêt du Tribunal fédéral 1A.47/2002 du 16 avril 2002 consid. 3 ; ATA/670/2015 du 23 juin 2015 consid. 2b et les références citées).</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ATA/670/2015 précité consid. 2c et les références citées) ou déclaré irrecevable (ATF 123 II 285 consid. 4 p. 286 ss ; arrêt du Tribunal fédéral 1C_69/2007 du 11 juin 2007 consid. 2.3 ; ATA/670/2015 précité consid. 2c et les références citées).</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w:t>
      </w:r>
    </w:p>
    <w:p>
      <w:r>
        <w:t>- 5/11 - A/4337/2015 à la censure de l’autorité de recours (ATF 135 I 79 précité ; 131 II 361 consid. 1.2 p. 365 ; 128 II 34 précité ; arrêt du Tribunal fédéral 6B_34/2009 du 20 avril 2009 consid. 3 ; ATA/670/2015 précité consid. 2d et les références citées)</w:t>
      </w:r>
    </w:p>
    <w:p>
      <w:r>
        <w:t>e.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(ATA/670/2015 précité consid. 2e ; ATA/183/2013 du 19 mars 2013 et la jurisprudence citée), dès lors qu'il ne ressort pas du dossier qu'il aurait quitté la prison à ce jour.</w:t>
      </w:r>
    </w:p>
    <w:p>
      <w:r>
        <w:t>Le recours est ainsi pleinement recevable. 3)</w:t>
      </w:r>
    </w:p>
    <w:p>
      <w:r>
        <w:t>Le recourant sollicite l'audition de trois codétenus, présents au moment de la prétendue menace qu'il aurait proférée à l'encontre de la surveillante.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p. 237 ; 138 IV 81 consid. 2.2 p. 84).</w:t>
      </w:r>
    </w:p>
    <w:p>
      <w:r>
        <w:t>En l'occurrence, le recourant a eu l’occasion de se déterminer par écrit devant la juridiction de céans et la prison a produit le rapport de dénonciation établi le 14 novembre 2015 relatant précisément les faits qui se sont déroulés le même jour. Au surplus, on ne voit pas quels éléments supplémentaires l'audition des trois codétenus pourraient apporter, en ce sens qu'ils se limiteront à confirmer la thèse du recourant, ce qui ressort d'ailleurs directement de son acte de recours. Le dossier étant complet, la chambre administrative dispose ainsi des éléments</w:t>
      </w:r>
    </w:p>
    <w:p>
      <w:r>
        <w:t>- 6/11 - A/4337/2015 nécessaires pour statuer sans donner suite à la mesure d'instruction présentée par l'intéressé. 4)</w:t>
      </w:r>
    </w:p>
    <w:p>
      <w:r>
        <w:t>L'objet du litige consiste à examiner le bien-fondé de la décision du directeur de la prison du 14 novembre 2015, consistant en le placement du recourant en cellule forte durant sept jours. 5)</w:t>
      </w:r>
    </w:p>
    <w:p>
      <w:r>
        <w:t>Le statut des personnes incarcérées à la prison est régi par le règlement sur le régime intérieur de la prison et le statut des personnes incarcérées du</w:t>
      </w:r>
    </w:p>
    <w:p>
      <w:r>
        <w:rPr>
          <w:b/>
        </w:rPr>
        <w:t>E. 30</w:t>
      </w:r>
    </w:p>
    <w:p>
      <w:r>
        <w:t>septembre 1985 (RRIP - F 1 50.04 ; art. 1 al. 3 de la loi sur l’organisation et le personnel de la prison du 21 juin 1984 - LOPP - F 1 50). 6) a.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Selon l’art. 47 al. 3 RRIP, le directeur de la prison est compétent pour prononcer les sanctions suivantes :</w:t>
      </w:r>
    </w:p>
    <w:p>
      <w:r>
        <w:t>a) suppression de visite pour quinze jours au plus ;</w:t>
      </w:r>
    </w:p>
    <w:p>
      <w:r>
        <w:t>b) suppression des promenades collectives ;</w:t>
      </w:r>
    </w:p>
    <w:p>
      <w:r>
        <w:t>c) suppression d’achat pour quinze jours au plus ;</w:t>
      </w:r>
    </w:p>
    <w:p>
      <w:r>
        <w:t>d) suppression de l’usage des moyens audiovisuels pour quinze jours au plus ;</w:t>
      </w:r>
    </w:p>
    <w:p>
      <w:r>
        <w:t>e) privation de travail ;</w:t>
      </w:r>
    </w:p>
    <w:p>
      <w:r>
        <w:t>f) placement en cellule forte pour dix jours au plus.</w:t>
      </w:r>
    </w:p>
    <w:p>
      <w:r>
        <w:t>b.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contrevenant auxdites obligations. Le droit disciplinaire se caractérise d’abord par la nature des obligations qu’il sanctionne, la justification en réside dans la nature réglementaire des relations entre l’administration et les intéressés. Il s’applique aux divers régimes de rapports de</w:t>
      </w:r>
    </w:p>
    <w:p>
      <w:r>
        <w:t>- 7/11 - A/4337/2015 puissance publique, et notamment aux personnes incarcérées, étant instauré, dans ce cadre, pour protéger le fonctionnement normal de l’établissement de détention. L’administration dispose d’un éventail de sanctions dont le choix doit respecter le principe de la proportionnalité (Pierre MOOR/Étienne POLTIER, Droit administratif, vol. 2, 2011, p. 142 à 145 et la jurisprudence citée).</w:t>
      </w:r>
    </w:p>
    <w:p>
      <w:r>
        <w:t>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(ATA/79/2016 du 26 janvier 2016 consid. 5 ; ATA/972/2015 du 22 septembre 2015 et les références citées).</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parmi lesquels figurent les surveillantes, sont également des fonctionnaires assermentés (art. 3 al. 1 let. a ch. 6 et 7 LOPP), le même raisonnement peut être appliqué aux rapports établis par ces derniers (ATA/79/2016 précité consid. 5 ; ATA/295/2015 du 24 mars 2015).</w:t>
      </w:r>
    </w:p>
    <w:p>
      <w:r>
        <w:t>c. Selon la doctrine, la menace peut être exprimée par la parole, l'écrit ou par un comportement concluant (Bernard CORBOZ, Les infractions en droit suisse, 3ème éd., 2010, vol. 1, n. 5 ad art. 180 CP, p. 694).</w:t>
      </w:r>
    </w:p>
    <w:p>
      <w:r>
        <w:t>d. En l'espèce, aucun élément du dossier ne permet de mettre en cause le rapport établi par la surveillante. Le recourant se limite à opposer sa propre version des faits à celle constatée et vécue par la surveillante. De plus et dans la mesure où le recourant a mimé à deux reprises le geste de tirer sur la surveillante, la chambre de céans peut exclure une quelconque incompréhension de la part de la surveillante à propos des gestes du recourant. Enfin, on ne voit pas ce qui aurait amené la surveillante à mentionner ces faits s’ils n’étaient pas avérés. Dès lors et compte tenu de la jurisprudence précitée, la chambre de céans retiendra que l’incident s’est déroulé conformément à ce qui est décrit dans le rapport.</w:t>
      </w:r>
    </w:p>
    <w:p>
      <w:r>
        <w:t>Faire mine, par deux fois, de tirer en direction d’une surveillante constitue sans nul doute possible des menaces par comportement concluant et contrevient clairement à l'obligation de tout détenu d’adopter une attitude correcte à l’égard du personnel de la prison (art. 44 RRIP), même si ces gestes ont été réalisés au cours d’une discussion concernant un film. De telles menaces étant à proscrire de manière absolue dans un établissement carcéral, la commission de tels faits justifie le prononcé d'une sanction de placement en cellule forte.</w:t>
      </w:r>
    </w:p>
    <w:p>
      <w:r>
        <w:t>Le grief sera écarté.</w:t>
      </w:r>
    </w:p>
    <w:p>
      <w:r>
        <w:t>- 8/11 - A/4337/2015 7)</w:t>
      </w:r>
    </w:p>
    <w:p>
      <w:r>
        <w:t>Le recourant soutient que la sanction est disproportionnée.</w:t>
      </w:r>
    </w:p>
    <w:p>
      <w:r>
        <w:t>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ATA/295/2015 du 24 mars 2015 consid. 7 ; ATA/735/2013 du 5 novembre 2013 consid. 11).</w:t>
      </w:r>
    </w:p>
    <w:p>
      <w:r>
        <w:t>b. Dans sa jurisprudence récente, la chambre de céans a eu à statuer sur des recours de détenus contre des décisions de sanction consistant en leur placement en cellule forte pour certains faits, notamment pour des menaces.</w:t>
      </w:r>
    </w:p>
    <w:p>
      <w:r>
        <w:t>Dans l'ATA/670/2015 du 23 juin 2015, le détenu en question avait été sanctionné de trois jours de cellule forte pour trouble à l’ordre de l’établissement, injures et menaces envers le personnel. Il avait notamment menacé les gardiens par ces termes : « je vais trouver toutes vos adresses et je vais vous retrouver dehors ». La chambre administrative a rejeté le recours de l'intéressé considérant le placement en cellule forte pour trois jours comme étant justifié et respectant le principe de la proportionnalité.</w:t>
      </w:r>
    </w:p>
    <w:p>
      <w:r>
        <w:t>Dans l'ATA/13/2015 du 6 janvier 2015, le détenu avait été sanctionné de deux jours de cellule forte pour injures et menaces envers le personnel, ainsi que refus d'obtempérer. Il avait notamment dit au gardien-chef adjoint présent « fais attention à ta femme et tes enfants, quand je sortirai je m'en occuperai ». La chambre administrative a rejeté le recours de l'intéressé considérant le placement en cellule forte pour deux jours comme étant justifié et respectant le principe de la proportionnalité.</w:t>
      </w:r>
    </w:p>
    <w:p>
      <w:r>
        <w:t>c. En l'espèce et comme examiné ci-dessus le comportement adopté par le recourant justifie une sanction telle que celle choisie par le directeur, soit un placement en cellule forte.</w:t>
      </w:r>
    </w:p>
    <w:p>
      <w:r>
        <w:t>Toutefois, au vu des précédents susmentionnés qu'a eu à traiter la chambre de céans, qui concernaient en plus des infractions multiples, contrairement à</w:t>
      </w:r>
    </w:p>
    <w:p>
      <w:r>
        <w:t>- 9/11 - A/4337/2015 l'infraction isolée au RRIP dont s'est rendu coupable le recourant, la durée de sept jours de placement en cellule forte apparaît clairement disproportionnée.</w:t>
      </w:r>
    </w:p>
    <w:p>
      <w:r>
        <w:t>Certes, l'incident s'est déroulé dans un contexte particulier, à savoir le lendemain des attentats de Paris, toutefois, cela ne saurait justifier une telle durée, proche de la durée maximale de dix jours pour un placement en cellule forte prévue par l'art. 47 al. 3 let. f RRIP.</w:t>
      </w:r>
    </w:p>
    <w:p>
      <w:r>
        <w:t>De plus, la prison ne peut pas s'appuyer sur l'antécédent du recourant du 22 juin 2012 pour justifier une telle quotité. En effet, d'une part, l'intéressé avait fait l'objet de cette sanction lors d'un précédent séjour à la prison et, d'autre part, elle date d'un peu plus de trois ans, de sorte que cet antécédent peut être relativisé. En outre, depuis sa nouvelle incarcération le 12 septembre 2015, le recourant n'a pas fait l'objet d'autre rapport d'incident autre que celui du 14 novembre 2015 ayant conduit à la décision présentement querellée.</w:t>
      </w:r>
    </w:p>
    <w:p>
      <w:r>
        <w:t>Dans ces conditions et vu les circonstances du cas d'espèce, deux jours de placement en cellule forte auraient constitué une quotité adéquate pour des faits tels que ceux reprochés au recourant.</w:t>
      </w:r>
    </w:p>
    <w:p>
      <w:r>
        <w:t>Le grief de violation du principe de la proportionnalité sera admis.</w:t>
      </w:r>
    </w:p>
    <w:p>
      <w:r>
        <w:t>Il résulte de ce qui précède que la sanction, dans sa durée, prononcée à l’encontre du recourant n’était pas conforme au droit. Dès lors qu’elle a été entièrement exécutée à ce jour, il n’est matériellement plus possible de l’annuler. La chambre de céans se limitera à en constater le caractère illicite (ATA/934/2014 du 25 novembre 2014 consid. 6 ; ATA/328/2009 du 30 juin 2009 consid. 8 ; ATA/666/2004 du 27 août 2004 consid. 2c). 8)</w:t>
      </w:r>
    </w:p>
    <w:p>
      <w:r>
        <w:t>Au vu de ce qui précède, le recours sera partiellement admis. 9)</w:t>
      </w:r>
    </w:p>
    <w:p>
      <w:r>
        <w:t>Vu la nature et l’issue du litige, aucun émolument ne sera perçu (art. 87 al. 1 LPA ; art. 12 al. 1 du règlement sur les frais, émoluments et indemnités en procédure administrative du 30 juillet 1986 - RFPA - E 5 10.03). Dès lors qu’il y a conclu, une indemnité de procédure de CHF 700.-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