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ATA/236/2014 vom 8. April 2014</w:t>
      </w:r>
    </w:p>
    <w:p>
      <w:r>
        <w:t>GE Cour de justice, 2014-04-08, FR</w:t>
      </w:r>
    </w:p>
    <w:p>
      <w:r>
        <w:rPr>
          <w:b/>
        </w:rPr>
        <w:t xml:space="preserve">Quelle: </w:t>
      </w:r>
      <w:r>
        <w:t>https://mcp.opencaselaw.ch/entscheid/ge_gerichte_ATA_236_2014</w:t>
      </w:r>
    </w:p>
    <w:p>
      <w:r>
        <w:t>FR: GE_GERICHTE ATA/236/2014 du 8 avril 2014</w:t>
      </w:r>
    </w:p>
    <w:p>
      <w:r>
        <w:t>IT: GE_GERICHTE ATA/236/2014 del 8 aprile 2014</w:t>
      </w:r>
    </w:p>
    <w:p>
      <w:pPr>
        <w:pStyle w:val="Heading2"/>
      </w:pPr>
      <w:r>
        <w:t>Regeste</w:t>
      </w:r>
    </w:p>
    <w:p>
      <w:r>
        <w:t>Résumé: Le placement en cellule forte pour dix jours au plus étant de la compétence du directeur général de l'office cantonal de la détention, sur proposition du directeur de la prison de Champ-Dollon, ce dernier ne pouvait pas prendre lui-même la décision de placer le recourant pendant dix jours en cellule forte. Cette compétence ne pouvait pas être déléguée au directeur de la prison, étant donné que ni la LOPP ni le RRIP ne prévoient une telle possibilité. L'échange de courriels entre le directeur de la prison et la directrice générale de l'office est insuffisant pour fonder une délégation de compétence relative au placement en cellule forte au-delà d'une durée de cinq jours, malgré les problèmes de disponibilité et de célérité invoqués. La décision attaquée ayant été prise par une autorité incompétente, sa nullité doit être constatée et le recours déclaré irrecevable sur ce point. Quant au placement sous le régime de la sécurité renforcée, celui-ci ne constitue pas une sanction disciplinaire. Il s'agit de préserver les droits du détenu tout en sauvegardant la sécurité collective de l'établissement pénitentiaire, en particulier en période de surpopulation carcérale et considérant l'attitude provocatrice du recourant. La durée de trois mois du placement en régime de sécurité renforcée est proportionnée aux circonstances du cas d'espèce, notamment compte tenu de la prévision d'une évaluation régulière. Les griefs dirigés contre le comportement du personnel pénitentiaire doivent être invoqué dans le cadre d'une procédure spécifique.</w:t>
      </w:r>
    </w:p>
    <w:p>
      <w:pPr>
        <w:pStyle w:val="Heading2"/>
      </w:pPr>
      <w:r>
        <w:t>Erwägungen</w:t>
      </w:r>
    </w:p>
    <w:p>
      <w:r>
        <w:rPr>
          <w:b/>
        </w:rPr>
        <w:t>E. 12</w:t>
      </w:r>
    </w:p>
    <w:p>
      <w:r>
        <w:t>septembre 1985 - LPA - E 5 10). 2) a. A teneur de l'art. 60 al. 1 let. b LPA, ont qualité pour recourir toutes les personnes qui sont touchées directement par une décision et ont un intérêt digne de protection à ce qu'elle soit annulée ou modifiée.</w:t>
      </w:r>
    </w:p>
    <w:p>
      <w:r>
        <w:t>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w:t>
      </w:r>
    </w:p>
    <w:p>
      <w:r>
        <w:t>c. Un intérêt digne de protection suppose un intérêt actuel à obtenir l’annulation de la décision attaquée (ATF 135 I 79 consid. 1 p. 81 ; 128 II 34 consid. 1b p. 36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w:t>
      </w:r>
    </w:p>
    <w:p>
      <w:r>
        <w:t>- 10/17 - A/1502/2013 1C.69/2007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du 22 mars 2011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Arrêt du Tribunal fédéral 1C.133/2009 précité).</w:t>
      </w:r>
    </w:p>
    <w:p>
      <w:r>
        <w:t>e. En l'espèce, quand bien même le recourant a exécuté les mesures contestées, la situation pourrait se présenter à nouveau, dans la mesure où ce dernier se trouve encore à la prison. Dès lors, la chambre administrative renoncera à l'exigence de l'intérêt actuel pour statuer (ATA/188/2011 du 22 mars 2011 ; ATA/266/2009 du 26 mai 2009). 3)</w:t>
      </w:r>
    </w:p>
    <w:p>
      <w:r>
        <w:t>Le recourant sollicite la tenue d’une audience de comparution personnelle des parties, l'audition des onze personnes détenues ayant participé à la mutinerie du 8 avril 2013, celle de son codétenu de cellule forte, et celle de trois surveillants de prison. Il demande également la production de son dossier auprès de la prison, de son dossier médical et de l’intégralité des images de vidéosurveillance le concernant quant aux faits reprochés.</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 Ce droit constitutionnel n’implique pas une audition personnelle de l’intéressé, celui-ci devant simplement disposer d’une</w:t>
      </w:r>
    </w:p>
    <w:p>
      <w:r>
        <w:t>- 11/17 - A/1502/2013 occasion de se déterminer sur les éléments propres à influer sur l’issue de la cause (art. 41 LPA ; Arrêt du Tribunal fédéral 1P.651/2002 du 10 février 2002 consid. 4.3 et les arrêts cités ; ATA/755/2012 du 6 novembre 2012 ; ATA/301/2012 du</w:t>
      </w:r>
    </w:p>
    <w:p>
      <w:r>
        <w:rPr>
          <w:b/>
        </w:rPr>
        <w:t>E. 15</w:t>
      </w:r>
    </w:p>
    <w:p>
      <w:r>
        <w:t>mai 2012).</w:t>
      </w:r>
    </w:p>
    <w:p>
      <w:r>
        <w:t>b. En l’espèce, le recourant a eu l’occasion de se déterminer par écrit devant la juridiction de céans à plusieurs reprises. Les éléments pertinents et nécessaires ressortant de l’instruction des procédures pénales le concernant ont été ajoutés à la présente procédure. La chambre administrative dispose donc d’un dossier complet pour statuer sans donner suite aux requêtes préalables de l’intéressé. 4)</w:t>
      </w:r>
    </w:p>
    <w:p>
      <w:r>
        <w:t>La présente procédure a pour objets le placement en cellule forte du recourant du 8 au 18 avril 2013, d’une part, et le placement de celui-ci en régime de sécurité renforcée pour une durée de trois mois, à savoir du 9 mai au 8 août 2013, d’autre part. Décision du 9 avril 2013 de placement en cellule forte pour une durée de dix jours, du 8 au 18 avril 2013 5)</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 / Etienne POLTIER, Droit administratif, vol. 2, 3ème éd., 2011, p. 142 à 145 et la jurisprudence citée). 6) a. Le statut des personnes incarcérées à la prison est régi par l’art. 1 al. 3 de la loi sur l’organisation et le personnel de la prison du 21 juin 1984 (LOPP - F 1 50), ainsi que par le règlement sur le régime intérieur de la prison et le statut des personnes incarcérées du 30 septembre 1985 (RRIP - F 1 50.04).</w:t>
      </w:r>
    </w:p>
    <w:p>
      <w:r>
        <w:t>b. Un détenu doit respecter les dispositions du RRIP, les instructions du directeur général de l’OCD, ainsi que les ordres du directeur et des fonctionnaires de la prison (art. 42 RRIP). Il doit en toutes circonstances adopter une attitude correcte à l’égard du personnel de la prison, des autres personnes incarcérées et des tiers (art. 44 RRIP). Il lui est notamment interdit de troubler l’ordre et la tranquillité de la prison (art. 45 let. h RRIP).</w:t>
      </w:r>
    </w:p>
    <w:p>
      <w:r>
        <w:t>- 12/17 - A/1502/2013 7)</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l’art. 47 al. 3 RRIP,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Ces sanctions peuvent se cumuler (art. 47 al. 4 RRIP).</w:t>
      </w:r>
    </w:p>
    <w:p>
      <w:r>
        <w:t>Le directeur général de l’OCD peut ordonner, sur proposition du directeur de la prison, le placement en cellule forte pour dix jours au plus (art. 47 al. 5 RRIP). En d’autres termes, le prononcé des sanctions plus sévères que celles énoncées à l’art. 47 al. 3 RRIP sont de la compétence du directeur général de l’OCD (ATA/525/2013 du 27 août 2013 ; ATA/536/2009 du 27 octobre 2009). 8)</w:t>
      </w:r>
    </w:p>
    <w:p>
      <w:r>
        <w:t>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w:t>
      </w:r>
    </w:p>
    <w:p>
      <w:r>
        <w:rPr>
          <w:b/>
        </w:rPr>
        <w:t>E. 20</w:t>
      </w:r>
    </w:p>
    <w:p>
      <w:r>
        <w:t>décembre 2011 consid. 2 et les références citées ; Thierry TANQUEREL, Manuel de droit administratif, 2011, n. 908 ss). Enfin, la nullité d'une décision peut être constatée en tout temps et d'OCD par n'importe quelle autorité, y compris en instance de recours (ATF 136 II 415 consid. 1.2 ; 132 II 342 consid. 2.1). En cas de constat de nullité, le recours n'a pas ou plus d'objet, ce qui conduit en principe à son irrecevabilité (ATF 136 II 415 consid. 1.2 ; ATA/412/2013 du 2 juillet 2013 consid. 7). 9)</w:t>
      </w:r>
    </w:p>
    <w:p>
      <w:r>
        <w:t>En l’espèce, par courriel du 8 avril 2013, le directeur de la prison a prié la directrice générale de l’OCD de lui confirmer qu’il pouvait, à la suite de la</w:t>
      </w:r>
    </w:p>
    <w:p>
      <w:r>
        <w:t>- 13/17 - A/1502/2013 mutinerie qui avait eu lieu le même jour, prendre des sanctions en agissant sur délégation de sa part, ce que la directrice a confirmé par courriel du même jour.</w:t>
      </w:r>
    </w:p>
    <w:p>
      <w:r>
        <w:t>Le 9 avril 2013, le directeur de la prison, sur délégation de la directrice en question, a décidé que le recourant devait passer dix jours en cellule forte, du 8 avril 2013 au 18 avril 2013, en raison d’un refus d’obtempérer, de troubles à l’ordre de l’établissement, de la dégradation des locaux et de mobiliers et d’injures envers le personnel. Le recourant a déjà subi la sanction administrative qui lui a été infligée.</w:t>
      </w:r>
    </w:p>
    <w:p>
      <w:r>
        <w:t>A teneur de l’art. 47 al. 5 RRIP, le placement en cellule forte pour dix jours au plus est de la compétence du directeur général de l’OCD, sur proposition du directeur de la prison. Ni la LOPP ni le RRIP ne prévoient la possibilité pour le directeur général de l’OCD de déléguer la compétence précitée au directeur de la prison. Dans ces circonstances, admettre le contraire viderait l’art. 47 al. 5 RRIP de son sens, dans la mesure où les sanctions plus importantes que celles figurant à l’art. 47 al. 3 RRIP sont de la compétence du directeur général de l’OCD (ATA/525/2013 du 27 août 2013 ; ATA/536/2009 du 27 octobre 2009). A cet égard, l’échange de courriels entre le directeur de la prison et la directrice générale de l’OCD est insuffisant pour fonder une délégation de compétence relative au placement en cellule forte au-delà d’une durée de cinq jours, malgré les problèmes de disponibilité et de célérité invoqués.</w:t>
      </w:r>
    </w:p>
    <w:p>
      <w:r>
        <w:t>Par conséquent, le directeur de la prison n’était pas compétent pour prendre la décision litigieuse. Tout au plus pouvait-il proposer à la directrice générale de l’OCD de placer le recourant en cellule forte pour une durée maximale de dix jours, mais il ne pouvait pas prendre cette décision lui-même, même sur délégation de la directrice générale de l’OCD. 10) La décision attaquée a ainsi été prise par une autorité incompétente, ce qui constitue un vice particulièrement grave au sens de la jurisprudence précitée.</w:t>
      </w:r>
    </w:p>
    <w:p>
      <w:r>
        <w:t>La nullité de la décision querellée sera donc constatée, et en conséquence le recours déclaré irrecevable.</w:t>
      </w:r>
    </w:p>
    <w:p>
      <w:r>
        <w:t>Etant donné cette issue, il n'est pas nécessaire de trancher d'autres points de droit. Décision du 13 mai 2013 de placement en régime de sécurité renforcé pour une durée de trois mois, du 9 mai au 8 août 2013 11) a. Selon l’art. 50 al. 1 RRIP, le Procureur général, le directeur général de l'OCD et le directeur de la prison sont compétents pour interdire la détention en commun si elle présente des inconvénients ou des risques, notamment pour ce qui concerne la sauvegarde de la sécurité collective. La mesure de mise en régime de sécurité renforcée permet de réduire les risques de troubles au sein de la prison.</w:t>
      </w:r>
    </w:p>
    <w:p>
      <w:r>
        <w:t>- 14/17 - A/1502/2013</w:t>
      </w:r>
    </w:p>
    <w:p>
      <w:r>
        <w:t>La décision de placement en régime de sécurité renforcée peut être ordonnée pour une durée de six mois au maximum ; elle peut être renouvelée aux mêmes conditions.</w:t>
      </w:r>
    </w:p>
    <w:p>
      <w:r>
        <w:t>Cette mesure figure dans le titre « règles particulières » applicables aux prévenus ou aux condamnés. Elle constitue une exception au régime normal (art. 49 RRIP) et ne figure pas dans la liste exhaustive des sanctions énoncées à l'art. 47 al. 3 RRIP.</w:t>
      </w:r>
    </w:p>
    <w:p>
      <w:r>
        <w:t>b. Il résulte clairement de ces dispositions que le placement en régime de sécurité renforcée ne constitue pas une sanction (Lukas HUBER, Disziplinarmassnahmen im Strafvollzug, Basler Studien zur Rechtswissenschaft, Band 46, 1995, p. 22 et 23). Il s'agit d'une décision au sens de l'art. 4 LPA, susceptible de recours auprès de la chambre administrative (ATA/188/2011 du</w:t>
      </w:r>
    </w:p>
    <w:p>
      <w:r>
        <w:rPr>
          <w:b/>
        </w:rPr>
        <w:t>E. 22</w:t>
      </w:r>
    </w:p>
    <w:p>
      <w:r>
        <w:t>mars 2011 ; ATA/533/2008 au 28 octobre 2008). Dès lors, la chambre de céans est compétente pour juger la présente affaire. 12) Le recourant se plaint d’être puni à tort car ce n’est pas lui qui a créé un inconvénient ou un risque pour la collectivité. Au contraire, son comportement résulterait de l’agressivité de ses codétenus à son encontre, due à des rivalités ethniques entraînant une cohabitation dangereuse pour lui, et des conséquences néfastes sur sa santé, notamment une allergie à la poussière, en raison du dépôt de son matelas à même le sol. Lors de son placement en cellule forte le 4 mai 2013, la confrontation avait été provoquée par les surveillants. Par ailleurs, il souhaite changer de cellule et consulter un médecin, mais estime que le régime de sécurité renforcée est beaucoup trop strict.</w:t>
      </w:r>
    </w:p>
    <w:p>
      <w:r>
        <w:t>Il sied d’emblée de relever que contrairement à ce que pense le recourant, la mesure de sécurité renforcée n’est pas une punition et ne figure d’ailleurs pas comme telle dans le catalogue des sanctions de l’art. 47 RRIP. Cela est si vrai que les droits des détenus soumis à un tel régime ne sont pas restreints. En revanche, le prévenu soumis à cette mesure est privé de contact avec les autres détenus. Or, c’est précisément ce que souhaite le recourant vis-à-vis de ses codétenus de cellule. Sous cette angle, l’on a peine à comprendre l’enjeu du recours, la finalité de la mesure querellée permettant l’éloignement et le changement de cellule que le recourant réclame.</w:t>
      </w:r>
    </w:p>
    <w:p>
      <w:r>
        <w:t>Il résulte du dossier que malgré plusieurs punitions dont il a fait l’objet depuis sa mise en détention, le recourant n’a eu de cesse de persister dans son attitude provocatrice, de ne pas respecter les règles en vigueur et d’insulter le personnel. L’attitude du recourant est incompatible avec l’art. 44 RRIP précité. Son comportement démontre qu’il n’est pas capable de se soumettre au régime ordinaire de détention et qu’il présente des inconvénients ou des risques pour la sauvegarde de la sécurité collective. En effet, dans la mesure où il se sent menacé aussi bien par les gardiens que par ses codétenus, le recourant adopte une attitude</w:t>
      </w:r>
    </w:p>
    <w:p>
      <w:r>
        <w:t>- 15/17 - A/1502/2013 offensive, voire agressive, dont on ne peut exclure qu’elle provoque des réactions incontrôlées de ceux qui en sont la cible. 13) Le recourant conteste également le comportement du personnel pénitentiaire, qui l'aurait agressé et humilié lors de son entrée en cellule forte et ne donnerait pas suite à ses doléances, notamment médicales.</w:t>
      </w:r>
    </w:p>
    <w:p>
      <w:r>
        <w:t>La chambre administrative n'est compétente pour se prononcer sur la violation des devoirs de service du personnel pénitentiaire qu'en cas de recours contre une sanction disciplinaire ou un licenciement qui leur serait notifiée (art. 132 LOJ et 20A LOPP). La dénonciation d'un comportement contraire aux devoirs de service doit dès lors se faire par la voie hiérarchique auprès des autorités chargées de prononcer lesdites mesures, et qui sont décrites à l'art. 17 LOPP. Des comportements tombant sous le coup de la loi pénale peuvent également être dénoncés au Ministère public ou à une autre autorité de poursuite pénale, conformément à l'art. 301 al. 1 du Code de procédure pénale suisse du 5 octobre 2007 (CPP - RS 312.0).</w:t>
      </w:r>
    </w:p>
    <w:p>
      <w:r>
        <w:t>Au vu des principes sus rappelés, de tels griefs ne ressortissent pas à la compétence de la chambre de céans et sont donc irrecevables. 14) La mesure litigieuse est ainsi fondée et doit être confirmée dans son principe. 15) Reste à examiner si la durée de trois mois est conforme au principe de la proportionnalité qui gouverne toute action étatique. 16) a. Le principe de la proportionnalité exige que les moyens mis en œuvre par l’administration restent toujours dans un rapport raisonnable avec l’intérêt public poursuivi. On précise ce principe en distinguant ses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 (ATF 136 I 87 p. 92 ; ATF 136 I 17 p. 26 ; ATF 135 I 176 p. 186 ; ATF 133 I 110 p. 123 ; ATF 130 I 65 p. 69 ; ATA/723/2013 du 29 octobre 2013 ; ATA/721/2013 du 29 octobre 2013 ; Thierry TANQUEREL, op. cit., 2011, p. 187).</w:t>
      </w:r>
    </w:p>
    <w:p>
      <w:r>
        <w:t>L’art. 50 al. 2 RRIP est une disposition potestative (Kannvorschrift), dont l’application n’est censurée par l’autorité de recours qu’en cas d’excès ou abus de pouvoir d’appréciation (ATA/188/2011 du 22 mars 2011 ; ATA/240/2009 du 12 mai 2009).</w:t>
      </w:r>
    </w:p>
    <w:p>
      <w:r>
        <w:t>b. En l’espèce, la mesure litigieuse permet de réduire les risques de troubles au sein de la prison. Elle permet également au recourant d’être détenu dans des conditions qu’il réclame lui-même. La mesure de « simple éloignement » dont il</w:t>
      </w:r>
    </w:p>
    <w:p>
      <w:r>
        <w:t>- 16/17 - A/1502/2013 se prévaut n’existe pas. Le régime carcéral de Champ-Dollon connaît trois types de détention à savoir, l’isolement (art. 48 RRIP), le régime normal (art. 49 RRIP) et celui de sécurité renforcée (art. 50 RRIP). En d’autres termes, le directeur n’avait pas le choix d’une autre mesure, celle de l’isolement n’entrant pas en ligne de compte in casu. Quant à la durée de trois mois, elle s’inscrit dans la fourchette prévue par l’art. 50 al. 2 RRIP. La décision litigieuse précise que le comportement du recourant fera l’objet d’une évaluation régulière pouvant conduire le cas échéant à une proposition de levée de la mesure avant terme.</w:t>
      </w:r>
    </w:p>
    <w:p>
      <w:r>
        <w:t>Au vu de l’ensemble des circonstances, la décision querellée respecte le principe de la proportionnalité, tant par le choix de la mesure que par celui de la durée de celle-ci. En conséquence, le recours sera rejeté. 17) Aucun émolument ne sera perçu, la procédure étant gratuite (art. 12 al.1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