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ATA/235/2018 vom 13. März 2018</w:t>
      </w:r>
    </w:p>
    <w:p>
      <w:r>
        <w:t>GE Cour de justice, 2018-03-13, FR</w:t>
      </w:r>
    </w:p>
    <w:p>
      <w:r>
        <w:rPr>
          <w:b/>
        </w:rPr>
        <w:t xml:space="preserve">Quelle: </w:t>
      </w:r>
      <w:r>
        <w:t>https://mcp.opencaselaw.ch/entscheid/ge_gerichte_ATA_235_2018</w:t>
      </w:r>
    </w:p>
    <w:p>
      <w:r>
        <w:t>FR: GE_GERICHTE ATA/235/2018 du 13 mars 2018</w:t>
      </w:r>
    </w:p>
    <w:p>
      <w:r>
        <w:t>IT: GE_GERICHTE ATA/235/2018 del 13 marzo 2018</w:t>
      </w:r>
    </w:p>
    <w:p>
      <w:pPr>
        <w:pStyle w:val="Heading2"/>
      </w:pPr>
      <w:r>
        <w:t>Erwägungen</w:t>
      </w:r>
    </w:p>
    <w:p>
      <w:r>
        <w:rPr>
          <w:b/>
        </w:rPr>
        <w:t>E. 05</w:t>
      </w:r>
    </w:p>
    <w:p>
      <w:r>
        <w:t>; art. 62 al. 1 let. a de la loi sur la procédure administrative du 12 septembre 1985 - LPA - E 5 10 ; art. 10 al. 1 de la loi d'application de la loi fédérale sur les étrangers du 16 juin 1988 - LaLEtr - F 2 10). 2)</w:t>
      </w:r>
    </w:p>
    <w:p>
      <w:r>
        <w:t>Selon l’art. 10 al. 2 1ère phr. LaLEtr, la chambre administrative doit statuer dans les dix jours qui suivent sa saisine. Ayant reçu le recours le 7 mars 2018 et statuant ce jour, elle respecte ce délai.</w:t>
      </w:r>
    </w:p>
    <w:p>
      <w:r>
        <w:t>La chambre administrative est en outre compétente pour apprécier l'opportunité des décisions portées devant elle (art. 10 al. 2 2ème phr. LaLEtr).</w:t>
      </w:r>
    </w:p>
    <w:p>
      <w:r>
        <w:t>- 4/7 - A/523/2018 Elle peut confirmer, réformer ou annuler la décision attaquée (art. 10 al. 3 1ère phr. LaLEtr). 3) 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w:t>
      </w:r>
    </w:p>
    <w:p>
      <w:r>
        <w:t>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w:t>
      </w:r>
    </w:p>
    <w:p>
      <w:r>
        <w:t>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w:t>
      </w:r>
    </w:p>
    <w:p>
      <w:r>
        <w:t>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De jurisprudence constante, constitue une menace pour les tiers et une grave mise en danger de leur vie ou de leur intégrité, la participation à un trafic de stupéfiants comme la cocaïne ou l’héroïne, compte tenu de la dangerosité de ce produit (arrêt du Tribunal fédéral 2C_293/2012 du 18 avril 2012 consid. 4.2 à 4.5 ; ATA/1282/2017 du 14 septembre 2017 3c et la jurisprudence citée).</w:t>
      </w:r>
    </w:p>
    <w:p>
      <w:r>
        <w:t>- 5/7 - A/523/2018</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4)</w:t>
      </w:r>
    </w:p>
    <w:p>
      <w:r>
        <w:t>En l'espèce, le recourant n'est titulaire d'aucune autorisation de séjour en Suisse, ni même d'une autorisation de courte durée. Il fait l’objet d’une décision de renvoi du 11 novembre 2008, exécutoire. Le renvoi n’a pu encore être exécuté en raison de l’opposition du recourant à se conformer à la décision des autorités compétentes. Contrairement à ce qu’il allègue, le renvoi n’est pas impossible pour des raisons matérielles, une telle impossibilité supposant en tout état de cause notamment que l'étranger ne puisse pas sur une base volontaire quitter la Suisse et rejoindre son État d'origine, de provenance ou un État tiers (arrêt du TAF E-6668/2012 du 22 août 2013 consid. 6.7.1).</w:t>
      </w:r>
    </w:p>
    <w:p>
      <w:r>
        <w:t>Par ailleurs, le recourant a, à plusieurs reprises au cours des dernières années, troublé et menacé la sécurité et l’ordre publics, notamment par des vols et la fréquentation régulière du marché illicite des stupéfiants pour assurer sa consommation personnelle de haschich, cocaïne et héroïne, le principe d’une interdiction de périmètre est indubitablement fondée. Peu importe, au vu de la jurisprudence susmentionnée, qu’il ait fait opposition à sa huitième condamnation pénale prononcée le 31 janvier 2018, dès lors qu’un simple soupçon est suffisant pour fonder la mesure administrative en cause, étant relevé, pour le surplus, qu’il ressort des pièces du dossier que les faits reprochés ont été en partie filmés par une caméra de vidéo-surveillance. 5) a. Pour être conforme au principe de la proportionnalité énoncé à l'art. 36 al. 3 de la Constitution fédérale de la Confédération suisse du 18 avril 1999 (Cst.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w:t>
      </w:r>
    </w:p>
    <w:p>
      <w:r>
        <w:t>- 6/7 - A/523/2018</w:t>
      </w:r>
    </w:p>
    <w:p>
      <w:r>
        <w:t>b. Le périmètre d'interdiction de pénétrer, qui peut même inclure l’ensemble du territoire d’une ville, doit être déterminé de manière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w:t>
      </w:r>
    </w:p>
    <w:p>
      <w:r>
        <w:t>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publics et privés en jeu (ATA/1282/2017 précité consid.5). 6)</w:t>
      </w:r>
    </w:p>
    <w:p>
      <w:r>
        <w:t>Dans le cas présent, le recourant ne conteste plus le périmètre interdit, ni la durée de l’interdiction territoriale. Le dossier permettant de constater que le recourant a déployé régulièrement ses activités illégales dans le centre-ville de Genève, le TAPI a retenu à bon droit que le commissaire de police n’a abusé de son pouvoir d’appréciation ni dans la définition de la zone prohibée, ni dans la durée de l’interdiction territoriale. 7)</w:t>
      </w:r>
    </w:p>
    <w:p>
      <w:r>
        <w:t>Au vu de ce qui précède, le recours, manifestement mal fondé, sera rejeté sans instruction (art. 72 LPA). 8)</w:t>
      </w:r>
    </w:p>
    <w:p>
      <w:r>
        <w:t>Vu la nature du litige, il ne sera pas perçu d’émolument (art. 87 al. 1 LPA ; art. 12 al. 1 du règlement sur les frais, émoluments et indemnités en procédure administrative du 30 juillet 1986 - RFPA - E 5 10.03), et,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