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ATA/233/2017 vom 23. Februar 2017</w:t>
      </w:r>
    </w:p>
    <w:p>
      <w:r>
        <w:t>GE Cour de justice, 2017-02-23, FR</w:t>
      </w:r>
    </w:p>
    <w:p>
      <w:r>
        <w:rPr>
          <w:b/>
        </w:rPr>
        <w:t xml:space="preserve">Quelle: </w:t>
      </w:r>
      <w:r>
        <w:t>https://mcp.opencaselaw.ch/entscheid/ge_gerichte_ATA_233_2017</w:t>
      </w:r>
    </w:p>
    <w:p>
      <w:r>
        <w:t>FR: GE_GERICHTE ATA/233/2017 du 23 février 2017</w:t>
      </w:r>
    </w:p>
    <w:p>
      <w:r>
        <w:t>IT: GE_GERICHTE ATA/233/2017 del 23 febbraio 2017</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14 février 2017 et statuant ce jour, elle respecte ce délai.</w:t>
      </w:r>
    </w:p>
    <w:p>
      <w:r>
        <w:t>La chambre administrative est en outre compétente pour apprécier l'opportunité des décisions portées devant elle (art. 10 al. 2 2ème phr. LaLEtr).</w:t>
      </w:r>
    </w:p>
    <w:p>
      <w:r>
        <w:rPr>
          <w:b/>
        </w:rPr>
        <w:t>E. 3</w:t>
      </w:r>
    </w:p>
    <w:p>
      <w:r>
        <w:t>La détention administrative porte une atteinte grave à la liberté personnelle et ne peut être ordonnée que dans le respect de l'art. 5 de la Convention de sauvegarde des droits de l’homme et des libertés fondamentales du</w:t>
      </w:r>
    </w:p>
    <w:p>
      <w:r>
        <w:rPr>
          <w:b/>
        </w:rPr>
        <w:t>E. 4</w:t>
      </w:r>
    </w:p>
    <w:p>
      <w:r>
        <w:t>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w:t>
      </w:r>
    </w:p>
    <w:p>
      <w:r>
        <w:t>b. Ces chiffres 3 et 4 décrivent tous deux les comportements permettant de conclure à l'existence d'un risque de fuite ou de disparition ; ils doivent donc être envisagés ensemble (arrêt du Tribunal fédéral 2C_128/2009 du 30 mars 2009 consid. 3.1).</w:t>
      </w:r>
    </w:p>
    <w:p>
      <w:r>
        <w:t>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130 II 56 consid. 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1er mars 2013 consid. 4.2 ; voir aussi ATF 140 II 1 consid. 5.3), étant précisé que de simples déclarations selon</w:t>
      </w:r>
    </w:p>
    <w:p>
      <w:r>
        <w:t>- 7/10 - A/425/2017 lesquelles l'étranger dit ne pas vouloir retourner dans son pays ne sont pas forcément suffisantes pour retenir qu'il a la volonté de se soustraire à l'exécution de son renvoi (ACEDH Jusic c. Suisse, du 2 décembre 2010, req. 4691/06, par. 78-83).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w:t>
      </w:r>
    </w:p>
    <w:p>
      <w:r>
        <w:t>Plaide fortement en défaveur d'un risque de fuite le fait que l'étranger demeure depuis longtemps à une adresse fixe (Marc SPESCHA/Antonia KERLAND/Peter BOLZLI, Handbuch zum Migrationsrecht, 2ème éd. 2015, p. 330).</w:t>
      </w:r>
    </w:p>
    <w:p>
      <w:r>
        <w:rPr>
          <w:b/>
        </w:rPr>
        <w:t>E. 5</w:t>
      </w:r>
    </w:p>
    <w:p>
      <w:r>
        <w:t>En l'espèce, au moment où l'ordre de mise en détention a été émis, les éléments en possession de l'intimé ne lui permettaient pas de retenir l'existence d'un risque de fuite.</w:t>
      </w:r>
    </w:p>
    <w:p>
      <w:r>
        <w:t>En effet, le recourant ne s'était jamais exprimé au sujet d'un retour au Nigeria. Il disposait d'un passeport et d'un travail fixe lui conférant des moyens de subsistance réguliers. Il était locataire attitré d'un logement dont il payait le loyer et avait donc un domicile fixe, où les forces de police l'ont du reste trouvé, ainsi que ses documents de voyage, le jour de sa mise en détention. Le seul indice d'une absence de volonté de coopérer dans le cadre de l'exécution de son renvoi était qu'il n'avait pas donné suite aux courriers de l'OCPM datant de 2015 et l'invitant à prendre contact avec l'un de ses services. Or, cela revient à dire qu'il n'avait pas quitté le pays dans le délai imparti, constat qui n'est, selon la jurisprudence déjà citée, pas un motif de mise en détention.</w:t>
      </w:r>
    </w:p>
    <w:p>
      <w:r>
        <w:t>S'agissant au surplus de l'utilisation d'un nom d'emprunt pour tromper les autorités, cet élément ne pouvait pas non plus être retenu car il datait de 2004, et que depuis la préparation de son mariage en 2006, soit depuis plus de dix ans, il avait communiqué ses données exactes d'état civil et son vrai nom aux autorités suisses, et obtenu une autorisation de séjour.</w:t>
      </w:r>
    </w:p>
    <w:p>
      <w:r>
        <w:t>Au vu de ce qui précède, les conditions d’application de l’art. 76 al. 1 let. b ch. 3 et 4 LEtr n'étaient pas remplies, et aucun autre motif de mise en détention administrative n'était par ailleurs applicable qui pourrait justifier une substitution de motifs.</w:t>
      </w:r>
    </w:p>
    <w:p>
      <w:r>
        <w:rPr>
          <w:b/>
        </w:rPr>
        <w:t>E. 6</w:t>
      </w:r>
    </w:p>
    <w:p>
      <w:r>
        <w:t>À cet égard, le fait que des événements soient survenus depuis la mise en détention qui permettraient d'évaluer différemment le risque de fuite - déclarations</w:t>
      </w:r>
    </w:p>
    <w:p>
      <w:r>
        <w:t>- 8/10 - A/425/2017 en audience selon lesquelles il ne serait pas d'accord de retourner en l'état au Nigéria et surtout refus d'embarquer dans un vol à destination de ce pays – ne peut être pris en compte.</w:t>
      </w:r>
    </w:p>
    <w:p>
      <w:r>
        <w:t>En effet, la présente procédure concerne l'examen de légalité (voire d'opportunité) de l'ordre de mise en détention, et non de la situation actuelle de l’étranger au regard de la procédure de renvoi comme ce serait le cas lors d'un recours contre la prolongation de la détention. Si la loi (art. 80 al. 6 let. a LEtr) prévoit que la détention doit être levée lorsque le motif de détention n'existe plus, cela rappelle d’une part que le commissariat n’est pas autorisé à placer un étranger en détention administrative en l’absence de motif légal et que le TAPI, dans son activité de contrôle de la légalité de cette mesure, doit faire porter son examen sur l’existence de tels motifs mais qu’il ne peut, en cas de carence constatée, guérir celle-ci en prenant en compte le comportement de l’étranger après la mise en détention. Procéder de la sorte ferait en effet craindre des placements en détention administrative exploratoires, ordonnés aux seules fins d'éprouver la volonté de coopération de l'étranger, ce qui n'est pas admissible du point de vue tant du principe de la légalité que de celui de la bonne foi qui doivent gouverner l'activité étatique (art. 5 al. 2 et 3 Cst.).</w:t>
      </w:r>
    </w:p>
    <w:p>
      <w:r>
        <w:rPr>
          <w:b/>
        </w:rPr>
        <w:t>E. 7</w:t>
      </w:r>
    </w:p>
    <w:p>
      <w:r>
        <w:t>Vu ce qui précède, le recours est fondé et sera admis, et le jugement attaqué annulé.</w:t>
      </w:r>
    </w:p>
    <w:p>
      <w:r>
        <w:rPr>
          <w:b/>
        </w:rPr>
        <w:t>E. 8</w:t>
      </w:r>
    </w:p>
    <w:p>
      <w:r>
        <w:t>La mise en liberté immédiate du recourant sera donc prononcée.</w:t>
      </w:r>
    </w:p>
    <w:p>
      <w:r>
        <w:rPr>
          <w:b/>
        </w:rPr>
        <w:t>E. 9</w:t>
      </w:r>
    </w:p>
    <w:p>
      <w:r>
        <w:t>Vu la nature et l'issue du litige, il ne sera pas perçu d’émolument (art. 87 al. 1 LPA et 12 al. 1 du règlement sur les frais, émoluments et indemnités en procédure administrative du 30 juillet 1986 - RFPA - E 5 10.03). Vu l’issue du litige, une indemnité de procédure de CHF 1'000.-, à la charge de l'État de Genève, sera allouée au recourant, qui y a conclu et s'est fait assister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