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ATA/231/2024 vom 20. Februar 2024</w:t>
      </w:r>
    </w:p>
    <w:p>
      <w:r>
        <w:t>GE Cour de justice, 2024-02-20, FR</w:t>
      </w:r>
    </w:p>
    <w:p>
      <w:r>
        <w:rPr>
          <w:b/>
        </w:rPr>
        <w:t xml:space="preserve">Quelle: </w:t>
      </w:r>
      <w:r>
        <w:t>https://mcp.opencaselaw.ch/entscheid/ge_gerichte_ATA_231_2024</w:t>
      </w:r>
    </w:p>
    <w:p>
      <w:r>
        <w:t>FR: GE_GERICHTE ATA/231/2024 du 20 février 2024</w:t>
      </w:r>
    </w:p>
    <w:p>
      <w:r>
        <w:t>IT: GE_GERICHTE ATA/231/2024 del 20 febbraio 2024</w:t>
      </w:r>
    </w:p>
    <w:p>
      <w:pPr>
        <w:pStyle w:val="Heading2"/>
      </w:pPr>
      <w:r>
        <w:t>Erwägungen</w:t>
      </w:r>
    </w:p>
    <w:p>
      <w:r>
        <w:rPr>
          <w:b/>
        </w:rPr>
        <w:t>E. 1</w:t>
      </w:r>
    </w:p>
    <w:p>
      <w:r>
        <w:t>Le recours a été interjeté devant la juridiction compétente (art. 132 de la loi sur l'organisation judiciaire du 26 septembre 2010 - LOJ - E 2 05 ; art. 62 al. 1 let. a de la loi sur la procédure administrative du 12 septembre 1985 - LPA - E 5 10). Le commissaire de police ayant reçu le jugement attaqué le 2 février 2024, comme cela ressort du tampon de réception apposé sur le courrier du TAPI communiquant le jugement, le recours expédié le 12 février 2024 a été formé dans le délai légal de dix jours. Il est donc recevable.</w:t>
      </w:r>
    </w:p>
    <w:p>
      <w:r>
        <w:rPr>
          <w:b/>
        </w:rPr>
        <w:t>E. 2</w:t>
      </w:r>
    </w:p>
    <w:p>
      <w:r>
        <w:t>Selon l'art. 10 al. 2 de la loi d'application de la loi fédérale sur les étrangers du 16 juin 1988 (LaLEtr - F 2 10), la chambre administrative doit statuer dans les dix jours qui suivent sa saisine. Ayant reçu le recours le 13 février 2024 et statuant ce jour, elle respecte ce délai.</w:t>
      </w:r>
    </w:p>
    <w:p>
      <w:r>
        <w:rPr>
          <w:b/>
        </w:rPr>
        <w:t>E. 3</w:t>
      </w:r>
    </w:p>
    <w:p>
      <w:r>
        <w:t>Le recourant reproche au TAPI d’avoir violé le principe de la proportionnalité en réduisant la durée de l’interdiction territoriale.</w:t>
      </w:r>
    </w:p>
    <w:p>
      <w:r>
        <w:rPr>
          <w:b/>
        </w:rPr>
        <w:t>E. 3.1</w:t>
      </w:r>
    </w:p>
    <w:p>
      <w:r>
        <w:t>Aux termes de l'art. 74 al. 1 LEI, l'autorité cantonale compétente peut enjoindre à un étranger de ne pas pénétrer dans une région déterminée notamment lorsque l’étranger n’est pas titulaire d’une autorisation de courte durée, d’une autorisation de séjour ou d’une autorisation d’établissement et trouble ou menace la sécurité et l’ordre publics ; cette mesure vise notamment à lutter contre le trafic illégal de stupéfiants (let. a).</w:t>
      </w:r>
    </w:p>
    <w:p>
      <w:r>
        <w:t>- 5/8 - A/149/2024 Si le législateur a expressément fait référence aux infractions en lien avec le trafic de stupéfiants (art. 74 al. 1 let. a LEI),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Ainsi, le simple soupçon qu'un étranger puisse commettre des infractions dans le milieu de la drogue justifie une mesure prise en application de l'art. 74 al. 1 let. a LEI ; de tels soupçons peuvent découler du seul fait de la possession de stupéfiants destinés à sa propre consommation (arrêts du Tribunal fédéral 2C_762/2021 du 13 avril 2022 consid. 5.2 ; 2C_123/2021 précité consid. 3.1 et l'arrêt cité). Une mesure basée sur l’art. 74 al. 1 let. a LEI ne présuppose pas une condamnation pénale de l’intéressé (arrêts du Tribunal fédéral 2C_884/2020 précité consid. 3.3 ; 2C_123/2021 du 5 mars 2021).</w:t>
      </w:r>
    </w:p>
    <w:p>
      <w:r>
        <w:rPr>
          <w:b/>
        </w:rPr>
        <w:t>E. 3.2</w:t>
      </w:r>
    </w:p>
    <w:p>
      <w:r>
        <w:t>La mesure doit en outre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Il interdit toute limitation allant au- delà du but visé et exige un rapport raisonnable entre celui-ci et les intérêts publics ou privés compromis (ATF 140 I 218 consid. 6.7.1 ; 136 IV 97 consid. 5.2.2 ; 135 I 169 consid. 5.6).</w:t>
      </w:r>
    </w:p>
    <w:p>
      <w:r>
        <w:rPr>
          <w:b/>
        </w:rPr>
        <w:t>E. 3.3</w:t>
      </w:r>
    </w:p>
    <w:p>
      <w:r>
        <w:t>L'art. 74 LEI ne précise ni la durée ni l'étendue de la mesure. Selon le Tribunal fédéral, celle-ci doit dans tous les cas répondre au principe de proportionnalité, soit être adéquate au but visé et rester dans un rapport raisonnable avec celui-ci (ATF 142 II 1 consid. 2.3). Elle ne peut donc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w:t>
      </w:r>
    </w:p>
    <w:p>
      <w:r>
        <w:t>- 6/8 - A/149/2024</w:t>
      </w:r>
    </w:p>
    <w:p>
      <w:r>
        <w:rPr>
          <w:b/>
        </w:rPr>
        <w:t>E. 3.4</w:t>
      </w:r>
    </w:p>
    <w:p>
      <w:r>
        <w:t>La chambre administrative a confirmé une interdiction territoriale de douze mois dans le canton de Genève à l’encontre d’une personne sans antécédents, interpellée et condamnée par le Ministère public pour avoir vendu une boulette de cocaïne, l’intéressé n’ayant aucune ressource financière ni aucun intérêt à venir dans le canton (ATA/655/2021 du 23 juin 2021 ; ATA/802/2019 du 17 avril 2019). Elle a aussi confirmé des interdictions territoriales pour une durée de 18 mois prononcées contre un étranger interpellé en flagrant délit de vente de deux boulettes de cocaïne et auparavant condamné deux fois et arrêté une fois pour trafic de stupéfiants (ATA/2577/2022 du 15 septembre 2022) ou un étranger sans titre, travail, lieu de séjour précis ni attaches à Genève, condamné plusieurs fois pour infractions à la LEI et la LStup (ATA/536/2022 du 20 mai 2022).</w:t>
      </w:r>
    </w:p>
    <w:p>
      <w:r>
        <w:rPr>
          <w:b/>
        </w:rPr>
        <w:t>E. 3.5</w:t>
      </w:r>
    </w:p>
    <w:p>
      <w:r>
        <w:t>En l’espèce, il n’est pas contesté que les conditions permettant le prononcé d’une interdiction de pénétrer dans le canton de Genève sont remplies. Seule est litigieuse la durée de cette mesure. À cet égard, il convient de tenir compte de l’ensemble des circonstances du cas d’espèce. L’intimé a été condamné pour entrée et séjour illégal et consommation de stupéfiants, deux fois en 2023, et pour vol simple, séjour illégal et contravention à la LStup au mois de janvier 2024. Ses condamnations pour contravention à la LStup sont à mettre en lien, comme il le reconnaît d’ailleurs, avec sa toxicomanie. Or, sa poly-toxicomanie, notamment sa dépendance à l'héroïne, la cocaïne, au haschich et aux médicaments, rendent le risque d’atteinte à l’ordre et la sécurité publics particulièrement élevé. En effet, cette dépendance, malgré le fait que l’intimé suive un traitement de celle-ci, fonde le soupçon qu’il continue à fréquenter le milieu de la drogue, notamment de la drogue dure, et à contribuer, par sa consommation, au trafic de stupéfiants. Comme exposé ci-avant, l’art. 74 al. 1 let. a LEI vise précisément à lutter contre le trafic illégal de stupéfiants. L’intimé entre ainsi dans la situation justifiant le prononcé d’une interdiction territoriale expressément ciblée par le législateur. Par ailleurs, l’intimé est dépourvu de titre de séjour et n’a pas quitté la Suisse malgré deux condamnations en 2023 pour entrée et séjour illégal. Il est, en outre, dépourvu de documents d’identité. Il n’a pas de ressources, n’a pas de lieu de résidence ni d’attaches à Genève. Au vu de l’ensemble de ces circonstances, le commissaire n’a pas abusé du large pouvoir d’appréciation qui est le sien en considérant qu’une durée de douze mois était nécessaire pour préserver la sécurité et la santé publiques, apte à atteindre ledit but et proportionnée au sens étroit. Cette mesure est de surcroît de nature à inciter l’intimé, qui est dépourvu de titre de séjour, à se conformer à son obligation de quitter la Suisse. Le recours sera admis.</w:t>
      </w:r>
    </w:p>
    <w:p>
      <w:r>
        <w:t>- 7/8 - A/149/2024</w:t>
      </w:r>
    </w:p>
    <w:p>
      <w:r>
        <w:rPr>
          <w:b/>
        </w:rPr>
        <w:t>E. 4</w:t>
      </w:r>
    </w:p>
    <w:p>
      <w:r>
        <w:t>La procédure est gratuite. Vu son issue, il n’y a pas lieu à l’allocation d’une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